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1959" w14:textId="77777777" w:rsidR="00EE5E5D" w:rsidRDefault="00EE5E5D" w:rsidP="00EE5E5D">
      <w:bookmarkStart w:id="0" w:name="_GoBack"/>
      <w:bookmarkEnd w:id="0"/>
    </w:p>
    <w:p w14:paraId="37E45D86" w14:textId="77777777" w:rsidR="003B6109" w:rsidRDefault="003B6109" w:rsidP="00EE5E5D">
      <w:r>
        <w:t>Geachte voorzitter,</w:t>
      </w:r>
    </w:p>
    <w:p w14:paraId="4EE4B0A0" w14:textId="77777777" w:rsidR="003B6109" w:rsidRDefault="003B6109" w:rsidP="00EE5E5D"/>
    <w:p w14:paraId="633239EA" w14:textId="188A84AC" w:rsidR="008C0681" w:rsidRPr="008510D8" w:rsidRDefault="008C0681" w:rsidP="008C0681">
      <w:r>
        <w:t xml:space="preserve">Op 2 juni 2021 </w:t>
      </w:r>
      <w:r w:rsidR="00742BCC">
        <w:t xml:space="preserve">heeft </w:t>
      </w:r>
      <w:r>
        <w:t xml:space="preserve">de Raad overeenstemming </w:t>
      </w:r>
      <w:r w:rsidR="00742BCC">
        <w:t xml:space="preserve">bereikt </w:t>
      </w:r>
      <w:r>
        <w:t xml:space="preserve">over een Raadspositie ten aanzien van het </w:t>
      </w:r>
      <w:r>
        <w:rPr>
          <w:szCs w:val="18"/>
        </w:rPr>
        <w:t>Internationaal Aanbestedingsinstrument (</w:t>
      </w:r>
      <w:r w:rsidRPr="00575BC8">
        <w:rPr>
          <w:i/>
        </w:rPr>
        <w:t xml:space="preserve">International </w:t>
      </w:r>
      <w:proofErr w:type="spellStart"/>
      <w:r w:rsidRPr="00575BC8">
        <w:rPr>
          <w:i/>
        </w:rPr>
        <w:t>Procurement</w:t>
      </w:r>
      <w:proofErr w:type="spellEnd"/>
      <w:r w:rsidRPr="00575BC8">
        <w:rPr>
          <w:i/>
        </w:rPr>
        <w:t xml:space="preserve"> Instrument</w:t>
      </w:r>
      <w:r>
        <w:rPr>
          <w:iCs/>
        </w:rPr>
        <w:t>,</w:t>
      </w:r>
      <w:r>
        <w:t xml:space="preserve"> IPI). </w:t>
      </w:r>
      <w:r w:rsidRPr="00D311F7">
        <w:t xml:space="preserve">Het IPI heeft als doel om wederkerigheid </w:t>
      </w:r>
      <w:r w:rsidR="00742BCC">
        <w:t xml:space="preserve">op de markt voor </w:t>
      </w:r>
      <w:r w:rsidRPr="00D311F7">
        <w:t xml:space="preserve">overheidsopdrachten </w:t>
      </w:r>
      <w:r w:rsidR="00742BCC">
        <w:t xml:space="preserve">af te dwingen, zodat EU-bedrijven betere toegang krijgen tot aanbestedingen in derde landen. </w:t>
      </w:r>
      <w:r>
        <w:t>De Raadspositie is beschikbaar op de website van de Raad.</w:t>
      </w:r>
      <w:r>
        <w:rPr>
          <w:rStyle w:val="FootnoteReference"/>
        </w:rPr>
        <w:footnoteReference w:id="2"/>
      </w:r>
      <w:r>
        <w:t xml:space="preserve"> </w:t>
      </w:r>
      <w:r w:rsidR="00742BCC">
        <w:t xml:space="preserve">Met de Raadspositie krijgt het </w:t>
      </w:r>
      <w:r w:rsidR="005C4FDE">
        <w:t xml:space="preserve">inkomend </w:t>
      </w:r>
      <w:r w:rsidR="00742BCC">
        <w:t xml:space="preserve">Sloveense voorzitterschap een mandaat voor </w:t>
      </w:r>
      <w:proofErr w:type="spellStart"/>
      <w:r>
        <w:rPr>
          <w:bCs/>
          <w:szCs w:val="18"/>
          <w:lang w:eastAsia="ja-JP"/>
        </w:rPr>
        <w:t>triloog</w:t>
      </w:r>
      <w:proofErr w:type="spellEnd"/>
      <w:r w:rsidR="00AA23A0">
        <w:rPr>
          <w:bCs/>
          <w:szCs w:val="18"/>
          <w:lang w:eastAsia="ja-JP"/>
        </w:rPr>
        <w:t xml:space="preserve"> </w:t>
      </w:r>
      <w:r>
        <w:rPr>
          <w:bCs/>
          <w:szCs w:val="18"/>
          <w:lang w:eastAsia="ja-JP"/>
        </w:rPr>
        <w:t xml:space="preserve">onderhandelingen </w:t>
      </w:r>
      <w:r w:rsidR="00AA23A0">
        <w:rPr>
          <w:bCs/>
          <w:szCs w:val="18"/>
          <w:lang w:eastAsia="ja-JP"/>
        </w:rPr>
        <w:t>tussen de Raad, het Europees Parlement en de Europese Commissie</w:t>
      </w:r>
      <w:r>
        <w:t xml:space="preserve">. Naar verwachting zullen de onderhandelingen </w:t>
      </w:r>
      <w:r w:rsidR="00742BCC">
        <w:t>in het najaar</w:t>
      </w:r>
      <w:r w:rsidR="00FB3CD2">
        <w:t xml:space="preserve"> </w:t>
      </w:r>
      <w:r>
        <w:t>starten, wanneer het Europees Parlement een positie heeft ingenomen.</w:t>
      </w:r>
      <w:r>
        <w:br/>
      </w:r>
      <w:r>
        <w:br/>
        <w:t>Met deze brief informeren wij uw Kamer over de Raadspositie inzake het IPI. De voornaamste wijzigingen ten opzichte van het Commissievoorstel uit 2016 worden in deze brief toegelicht en van een appreciatie voorzien.</w:t>
      </w:r>
      <w:r>
        <w:rPr>
          <w:rStyle w:val="FootnoteReference"/>
        </w:rPr>
        <w:footnoteReference w:id="3"/>
      </w:r>
      <w:r>
        <w:t xml:space="preserve"> Voor de appreciatie wordt mede uitgegaan van de aandachtspunten van het kabinet die eerder met uw Kamer zijn gedeeld in de </w:t>
      </w:r>
      <w:r w:rsidRPr="008510D8">
        <w:t xml:space="preserve">Kamerbrief </w:t>
      </w:r>
      <w:r>
        <w:t xml:space="preserve">‘Reactie op de motie </w:t>
      </w:r>
      <w:proofErr w:type="spellStart"/>
      <w:r>
        <w:t>Weverling</w:t>
      </w:r>
      <w:proofErr w:type="spellEnd"/>
      <w:r>
        <w:t xml:space="preserve"> (21 501, nr. 2124)’ (Kamerstuk 21 501-02, nr. 2124) en Kamerbrief ‘Reactie op moties Koopmans c.s. en </w:t>
      </w:r>
      <w:proofErr w:type="spellStart"/>
      <w:r>
        <w:t>Sjoerdsma</w:t>
      </w:r>
      <w:proofErr w:type="spellEnd"/>
      <w:r>
        <w:t xml:space="preserve">/Van </w:t>
      </w:r>
      <w:proofErr w:type="spellStart"/>
      <w:r>
        <w:t>Helvert</w:t>
      </w:r>
      <w:proofErr w:type="spellEnd"/>
      <w:r>
        <w:t>’ (Kamerstuk 35 207, nr. 15).</w:t>
      </w:r>
      <w:r w:rsidRPr="006354C7">
        <w:t xml:space="preserve"> </w:t>
      </w:r>
      <w:r>
        <w:br/>
      </w:r>
      <w:r>
        <w:br/>
        <w:t>Via deze brief voldoen wij daarnaast aan het verzoek in de m</w:t>
      </w:r>
      <w:r w:rsidRPr="006727EC">
        <w:t xml:space="preserve">otie van de leden </w:t>
      </w:r>
      <w:r>
        <w:t>V</w:t>
      </w:r>
      <w:r w:rsidRPr="006727EC">
        <w:t>an Dijk en Paul over een effectieve en spoedige implementatie van het IPI</w:t>
      </w:r>
      <w:r>
        <w:t xml:space="preserve"> (Kamerstuk </w:t>
      </w:r>
      <w:r w:rsidRPr="006727EC">
        <w:t>21501-30</w:t>
      </w:r>
      <w:r>
        <w:t xml:space="preserve">, nr. </w:t>
      </w:r>
      <w:r w:rsidRPr="006727EC">
        <w:t>532</w:t>
      </w:r>
      <w:r>
        <w:t>) om de Kamer voor het zomerreces te informeren over de stand van zaken rondom het IPI.</w:t>
      </w:r>
      <w:r w:rsidR="00E85720">
        <w:t xml:space="preserve"> </w:t>
      </w:r>
      <w:r w:rsidR="00E85720" w:rsidRPr="00E85720">
        <w:t xml:space="preserve">Ook wordt in lijn met deze motie gewerkt aan de voorlichting aan en overleg met decentrale overheden over uitsluitingsmogelijkheden. Hierover zal uw Kamer in </w:t>
      </w:r>
      <w:r w:rsidR="00E85720">
        <w:t>het najaar worden geïnformeerd.</w:t>
      </w:r>
    </w:p>
    <w:p w14:paraId="18E4B428" w14:textId="67D42886" w:rsidR="008C0681" w:rsidRDefault="008C0681" w:rsidP="008C0681">
      <w:r>
        <w:br/>
      </w:r>
      <w:r>
        <w:rPr>
          <w:u w:val="single"/>
        </w:rPr>
        <w:t>Een mondiaal gelijker speelveld</w:t>
      </w:r>
      <w:r w:rsidRPr="000A75D0">
        <w:rPr>
          <w:i/>
        </w:rPr>
        <w:br/>
      </w:r>
      <w:r>
        <w:t xml:space="preserve">Het IPI is een offensief handelsinstrument waarmee de EU wederkerigheid wil </w:t>
      </w:r>
      <w:r>
        <w:lastRenderedPageBreak/>
        <w:t>afdwingen</w:t>
      </w:r>
      <w:r w:rsidR="00742BCC">
        <w:t xml:space="preserve"> </w:t>
      </w:r>
      <w:r w:rsidR="00742BCC" w:rsidRPr="00D669DF">
        <w:t>op de markt voor overheidsaanbestedingen</w:t>
      </w:r>
      <w:r w:rsidR="00742BCC">
        <w:t>,</w:t>
      </w:r>
      <w:r w:rsidR="00742BCC" w:rsidRPr="00D669DF">
        <w:t xml:space="preserve"> </w:t>
      </w:r>
      <w:r w:rsidR="00742BCC">
        <w:t xml:space="preserve">zodat EU-bedrijven </w:t>
      </w:r>
      <w:r w:rsidR="00AA23A0">
        <w:t xml:space="preserve">betere </w:t>
      </w:r>
      <w:r w:rsidR="00742BCC">
        <w:t>toegang krijgen tot aanbestedingen in derde landen.</w:t>
      </w:r>
      <w:r>
        <w:t xml:space="preserve"> </w:t>
      </w:r>
      <w:r>
        <w:rPr>
          <w:szCs w:val="18"/>
        </w:rPr>
        <w:t>Daarmee worden derde landen ertoe</w:t>
      </w:r>
      <w:r w:rsidRPr="00CA5A21">
        <w:rPr>
          <w:szCs w:val="18"/>
        </w:rPr>
        <w:t xml:space="preserve"> </w:t>
      </w:r>
      <w:r>
        <w:rPr>
          <w:szCs w:val="18"/>
        </w:rPr>
        <w:t>bewogen partij te worden bij de Overeenkomst inzake Overheidsopdrachten (</w:t>
      </w:r>
      <w:proofErr w:type="spellStart"/>
      <w:r>
        <w:rPr>
          <w:szCs w:val="18"/>
        </w:rPr>
        <w:t>Government</w:t>
      </w:r>
      <w:proofErr w:type="spellEnd"/>
      <w:r>
        <w:rPr>
          <w:szCs w:val="18"/>
        </w:rPr>
        <w:t xml:space="preserve"> </w:t>
      </w:r>
      <w:proofErr w:type="spellStart"/>
      <w:r>
        <w:rPr>
          <w:szCs w:val="18"/>
        </w:rPr>
        <w:t>Procurement</w:t>
      </w:r>
      <w:proofErr w:type="spellEnd"/>
      <w:r>
        <w:rPr>
          <w:szCs w:val="18"/>
        </w:rPr>
        <w:t xml:space="preserve"> Agreement (GPA)) van de WTO, om bilateraal afspraken met de EU te maken over een vergelijkbare toegang tot de markt voor overheidsopdrachten, of om de reikwijdte van bestaande afspraken uit te breiden. </w:t>
      </w:r>
      <w:r>
        <w:t xml:space="preserve">Door deze inzet op wederkerigheid sluit het IPI aan op de bredere kabinetsinzet op een gelijk speelveld ten opzichte van derde landen, zodat zowel binnen de Europese interne markt als daarbuiten Europese en niet-Europese ondernemingen onder vergelijkbare voorwaarden met elkaar kunnen concurreren. Ook het </w:t>
      </w:r>
      <w:r w:rsidRPr="00110500">
        <w:t>voorstel voor de Verordening buitenlandse subsidies</w:t>
      </w:r>
      <w:r>
        <w:t xml:space="preserve">, dat tot doel heeft om </w:t>
      </w:r>
      <w:r w:rsidRPr="00110500">
        <w:t xml:space="preserve">concurrentieverstoringen op de interne markt als gevolg van buitenlandse subsidies beter </w:t>
      </w:r>
      <w:r>
        <w:t>aan te pakken, past binnen deze kabinetsinzet.</w:t>
      </w:r>
      <w:r w:rsidRPr="00110500">
        <w:t xml:space="preserve"> </w:t>
      </w:r>
      <w:r>
        <w:t>Uw Kamer is via een BNC-fiche reeds geïnformeerd over de kabinetsbeoordeling van dit voorstel (</w:t>
      </w:r>
      <w:r w:rsidRPr="008E3FEA">
        <w:t>Kamerstuk 22</w:t>
      </w:r>
      <w:r w:rsidR="008E3FEA" w:rsidRPr="008E3FEA">
        <w:t xml:space="preserve"> </w:t>
      </w:r>
      <w:r w:rsidRPr="008E3FEA">
        <w:t>112</w:t>
      </w:r>
      <w:r w:rsidR="008E3FEA" w:rsidRPr="008E3FEA">
        <w:t xml:space="preserve">, nr. </w:t>
      </w:r>
      <w:r w:rsidRPr="008E3FEA">
        <w:t>3133). Het IPI</w:t>
      </w:r>
      <w:r>
        <w:t xml:space="preserve"> en </w:t>
      </w:r>
      <w:r w:rsidRPr="00110500">
        <w:t>voorstel voor de Verordening buitenlandse subsidies</w:t>
      </w:r>
      <w:r>
        <w:t xml:space="preserve"> zijn vanwege de verschillende doelstellingen dus complementair, en hebben als gedeeld doel om bij te dragen aan een mondiaal gelijker speelveld voor Europese bedrijven. Het kabinet zal </w:t>
      </w:r>
      <w:r w:rsidRPr="00E40ACE">
        <w:t>de</w:t>
      </w:r>
      <w:r>
        <w:t xml:space="preserve"> samenhang tussen IPI en het voorstel buitenlandse subsidies nauwgezet blijven volgen in verdere besprekingen.</w:t>
      </w:r>
      <w:r>
        <w:br/>
      </w:r>
      <w:r>
        <w:br/>
      </w:r>
      <w:r w:rsidRPr="000A75D0">
        <w:rPr>
          <w:u w:val="single"/>
        </w:rPr>
        <w:t>Inhoud Raadspositie</w:t>
      </w:r>
      <w:r>
        <w:rPr>
          <w:u w:val="single"/>
        </w:rPr>
        <w:t xml:space="preserve"> </w:t>
      </w:r>
      <w:r w:rsidRPr="000A75D0">
        <w:rPr>
          <w:i/>
          <w:szCs w:val="18"/>
        </w:rPr>
        <w:br/>
      </w:r>
      <w:r>
        <w:rPr>
          <w:szCs w:val="18"/>
        </w:rPr>
        <w:t>Met het IPI-voorstel zoals door de Commissie voorgesteld in 2016 kan de Europese Commissie een (fictieve) prijsopslag opleggen op inschrijvingen van bedrijven uit een bepaald derde land op EU-aanbestedingen. Aanbestedende diensten</w:t>
      </w:r>
      <w:r w:rsidR="00AA23A0">
        <w:rPr>
          <w:szCs w:val="18"/>
        </w:rPr>
        <w:t xml:space="preserve"> binnen de EU</w:t>
      </w:r>
      <w:r>
        <w:rPr>
          <w:szCs w:val="18"/>
        </w:rPr>
        <w:t xml:space="preserve"> zijn verplicht deze prijsopslag op te leggen bij aanbestedingen met een opdrachtwaarde boven een bepaalde drempelwaarde. De Europese Commissie stelt een maatregel in na onderzoek naar en consultatie </w:t>
      </w:r>
      <w:r w:rsidR="00AA23A0">
        <w:rPr>
          <w:szCs w:val="18"/>
        </w:rPr>
        <w:t xml:space="preserve">met </w:t>
      </w:r>
      <w:r>
        <w:rPr>
          <w:szCs w:val="18"/>
        </w:rPr>
        <w:t xml:space="preserve">een bepaald </w:t>
      </w:r>
      <w:r w:rsidR="00AA23A0">
        <w:rPr>
          <w:szCs w:val="18"/>
        </w:rPr>
        <w:t xml:space="preserve">derde </w:t>
      </w:r>
      <w:r>
        <w:rPr>
          <w:szCs w:val="18"/>
        </w:rPr>
        <w:t xml:space="preserve">land. </w:t>
      </w:r>
    </w:p>
    <w:p w14:paraId="18E01676" w14:textId="6ECD6A11" w:rsidR="008C0681" w:rsidRPr="00D311F7" w:rsidRDefault="008C0681" w:rsidP="008C0681">
      <w:r>
        <w:br/>
      </w:r>
      <w:r>
        <w:rPr>
          <w:i/>
          <w:szCs w:val="18"/>
        </w:rPr>
        <w:t>Onderzoek, consultaties en betrokkenheid lidstaten</w:t>
      </w:r>
      <w:r>
        <w:rPr>
          <w:i/>
          <w:szCs w:val="18"/>
        </w:rPr>
        <w:br/>
      </w:r>
      <w:r w:rsidRPr="00281569">
        <w:rPr>
          <w:szCs w:val="18"/>
        </w:rPr>
        <w:t xml:space="preserve">Ten opzichte van het Commissievoorstel uit 2016 </w:t>
      </w:r>
      <w:r>
        <w:rPr>
          <w:szCs w:val="18"/>
        </w:rPr>
        <w:t>i</w:t>
      </w:r>
      <w:r w:rsidRPr="00281569">
        <w:rPr>
          <w:szCs w:val="18"/>
        </w:rPr>
        <w:t>s de</w:t>
      </w:r>
      <w:r>
        <w:rPr>
          <w:szCs w:val="18"/>
        </w:rPr>
        <w:t xml:space="preserve"> periode waarin de Commissie een IPI-onderzoek kan uitvoeren en in dialoog treedt met een derde land verlengd van 8 maanden naar</w:t>
      </w:r>
      <w:r w:rsidRPr="00281569">
        <w:rPr>
          <w:szCs w:val="18"/>
        </w:rPr>
        <w:t xml:space="preserve"> </w:t>
      </w:r>
      <w:r>
        <w:rPr>
          <w:szCs w:val="18"/>
        </w:rPr>
        <w:t>9 maanden, met de mogelijkheid om deze eenmalig met 5 maanden te verlengen (deze was 4). Reden hiervoor is om de Commissie enige flexibiliteit te bieden om het land in kwestie te bewegen om het gebrek aan wederkerigheid te adresseren. Tegelijkertijd is de mogelijkheid voor opschorting van een IPI-onderzoek en -consultaties tijdsgebonden geworden,</w:t>
      </w:r>
      <w:r w:rsidRPr="0052374C">
        <w:rPr>
          <w:szCs w:val="18"/>
        </w:rPr>
        <w:t xml:space="preserve"> </w:t>
      </w:r>
      <w:r>
        <w:rPr>
          <w:szCs w:val="18"/>
        </w:rPr>
        <w:t xml:space="preserve">zodat de druk vanuit het instrument niet wegvalt. In het geval een land verplichtingen aangaat om de situatie te verbeteren, krijgt het land maximaal 6 maanden om resultaten te laten zien. </w:t>
      </w:r>
      <w:r>
        <w:rPr>
          <w:i/>
          <w:szCs w:val="18"/>
        </w:rPr>
        <w:br/>
      </w:r>
      <w:r>
        <w:rPr>
          <w:szCs w:val="18"/>
        </w:rPr>
        <w:br/>
        <w:t xml:space="preserve">In het geval de Commissie een IPI-maatregel wil aannemen, </w:t>
      </w:r>
      <w:r w:rsidR="00D60938">
        <w:rPr>
          <w:szCs w:val="18"/>
        </w:rPr>
        <w:t>worden lidstaten geconsulteerd in het Trade Barrier</w:t>
      </w:r>
      <w:r w:rsidR="006A7DA7">
        <w:rPr>
          <w:szCs w:val="18"/>
        </w:rPr>
        <w:t>s</w:t>
      </w:r>
      <w:r w:rsidR="00D60938">
        <w:rPr>
          <w:szCs w:val="18"/>
        </w:rPr>
        <w:t xml:space="preserve"> </w:t>
      </w:r>
      <w:proofErr w:type="spellStart"/>
      <w:r w:rsidR="00D60938">
        <w:rPr>
          <w:szCs w:val="18"/>
        </w:rPr>
        <w:t>Regulation</w:t>
      </w:r>
      <w:proofErr w:type="spellEnd"/>
      <w:r w:rsidR="00D60938">
        <w:rPr>
          <w:szCs w:val="18"/>
        </w:rPr>
        <w:t xml:space="preserve"> </w:t>
      </w:r>
      <w:proofErr w:type="spellStart"/>
      <w:r w:rsidR="00D60938">
        <w:rPr>
          <w:szCs w:val="18"/>
        </w:rPr>
        <w:t>Committee</w:t>
      </w:r>
      <w:proofErr w:type="spellEnd"/>
      <w:r w:rsidR="00D60938">
        <w:rPr>
          <w:szCs w:val="18"/>
        </w:rPr>
        <w:t xml:space="preserve">, waarbij de Raad inzet op goedkeuring </w:t>
      </w:r>
      <w:r w:rsidR="006A7DA7">
        <w:rPr>
          <w:szCs w:val="18"/>
        </w:rPr>
        <w:t xml:space="preserve">van een maatregel </w:t>
      </w:r>
      <w:r w:rsidR="00D60938">
        <w:rPr>
          <w:szCs w:val="18"/>
        </w:rPr>
        <w:t>die een gekwalificeerde meerderheid van de lidstaten vereist.</w:t>
      </w:r>
      <w:r w:rsidRPr="009958C0">
        <w:rPr>
          <w:szCs w:val="18"/>
        </w:rPr>
        <w:t xml:space="preserve"> </w:t>
      </w:r>
      <w:r w:rsidRPr="00460127">
        <w:rPr>
          <w:szCs w:val="18"/>
        </w:rPr>
        <w:t xml:space="preserve">Verder is verduidelijkt dat IPI-maatregelen enkel van toepassing kunnen zijn op </w:t>
      </w:r>
      <w:r>
        <w:rPr>
          <w:szCs w:val="18"/>
        </w:rPr>
        <w:t>aanbestedings</w:t>
      </w:r>
      <w:r w:rsidRPr="00460127">
        <w:rPr>
          <w:szCs w:val="18"/>
        </w:rPr>
        <w:t>procedures die gestart zijn na inwerkingtreding van de verordening.</w:t>
      </w:r>
      <w:r>
        <w:rPr>
          <w:szCs w:val="18"/>
        </w:rPr>
        <w:t xml:space="preserve"> Ook vindt binnen 6 jaar na inwerkingtreding een herziening van het instrument plaats.</w:t>
      </w:r>
      <w:r>
        <w:br/>
      </w:r>
      <w:r>
        <w:br/>
      </w:r>
      <w:r>
        <w:rPr>
          <w:i/>
          <w:szCs w:val="18"/>
        </w:rPr>
        <w:t>Vorm van IPI-maatregel</w:t>
      </w:r>
      <w:r>
        <w:rPr>
          <w:i/>
          <w:szCs w:val="18"/>
        </w:rPr>
        <w:br/>
      </w:r>
      <w:r>
        <w:t xml:space="preserve">Op basis van het IPI-voorstel uit 2016 kan de Europese Commissie wanneer na een onderzoeks- en consultatieproces het gebrek aan wederkerigheid niet is </w:t>
      </w:r>
      <w:r>
        <w:lastRenderedPageBreak/>
        <w:t>opgelost, een maximale (fictieve) prijsopslag van 20% laten opleggen op inschrijvingen van bedrijven uit het derde land in kwestie. In de Raadspositie is de mogelijke vorm van een maatregel uitgebreid.</w:t>
      </w:r>
      <w:r>
        <w:rPr>
          <w:szCs w:val="18"/>
        </w:rPr>
        <w:t xml:space="preserve"> Zo kan e</w:t>
      </w:r>
      <w:r w:rsidRPr="00281569">
        <w:rPr>
          <w:szCs w:val="18"/>
        </w:rPr>
        <w:t xml:space="preserve">en bredere scoreopslag – een </w:t>
      </w:r>
      <w:r w:rsidRPr="00281569">
        <w:rPr>
          <w:i/>
          <w:szCs w:val="18"/>
        </w:rPr>
        <w:t xml:space="preserve">score </w:t>
      </w:r>
      <w:proofErr w:type="spellStart"/>
      <w:r w:rsidRPr="00281569">
        <w:rPr>
          <w:i/>
          <w:szCs w:val="18"/>
        </w:rPr>
        <w:t>adjustment</w:t>
      </w:r>
      <w:proofErr w:type="spellEnd"/>
      <w:r w:rsidRPr="00281569">
        <w:rPr>
          <w:i/>
          <w:szCs w:val="18"/>
        </w:rPr>
        <w:t xml:space="preserve"> </w:t>
      </w:r>
      <w:proofErr w:type="spellStart"/>
      <w:r w:rsidRPr="00281569">
        <w:rPr>
          <w:i/>
          <w:szCs w:val="18"/>
        </w:rPr>
        <w:t>measure</w:t>
      </w:r>
      <w:proofErr w:type="spellEnd"/>
      <w:r w:rsidRPr="00281569">
        <w:rPr>
          <w:szCs w:val="18"/>
        </w:rPr>
        <w:t xml:space="preserve"> – van max</w:t>
      </w:r>
      <w:r>
        <w:rPr>
          <w:szCs w:val="18"/>
        </w:rPr>
        <w:t>imum</w:t>
      </w:r>
      <w:r w:rsidRPr="00281569">
        <w:rPr>
          <w:szCs w:val="18"/>
        </w:rPr>
        <w:t xml:space="preserve"> 40%</w:t>
      </w:r>
      <w:r>
        <w:rPr>
          <w:szCs w:val="18"/>
        </w:rPr>
        <w:t xml:space="preserve"> worden opgelegd</w:t>
      </w:r>
      <w:r w:rsidRPr="00281569">
        <w:rPr>
          <w:szCs w:val="18"/>
        </w:rPr>
        <w:t xml:space="preserve">. Dit maakt het instrument effectiever </w:t>
      </w:r>
      <w:r>
        <w:rPr>
          <w:szCs w:val="18"/>
        </w:rPr>
        <w:t xml:space="preserve">bij aanbestedingen die </w:t>
      </w:r>
      <w:r w:rsidRPr="00A84153">
        <w:rPr>
          <w:szCs w:val="18"/>
        </w:rPr>
        <w:t>op kwaliteit worden gegund en waarbij de prijs een kleinere rol speelt</w:t>
      </w:r>
      <w:r w:rsidRPr="00281569">
        <w:rPr>
          <w:szCs w:val="18"/>
        </w:rPr>
        <w:t xml:space="preserve"> </w:t>
      </w:r>
      <w:r>
        <w:rPr>
          <w:szCs w:val="18"/>
        </w:rPr>
        <w:t xml:space="preserve">in de beoordeling van de aanbesteding. </w:t>
      </w:r>
      <w:r w:rsidRPr="00281569">
        <w:rPr>
          <w:szCs w:val="18"/>
        </w:rPr>
        <w:t xml:space="preserve">Daarnaast </w:t>
      </w:r>
      <w:r>
        <w:rPr>
          <w:szCs w:val="18"/>
        </w:rPr>
        <w:t>kan de Commissie in uitzonderlijke en ernstige</w:t>
      </w:r>
      <w:r w:rsidRPr="00281569">
        <w:rPr>
          <w:szCs w:val="18"/>
        </w:rPr>
        <w:t xml:space="preserve"> gevallen </w:t>
      </w:r>
      <w:r>
        <w:rPr>
          <w:szCs w:val="18"/>
        </w:rPr>
        <w:t xml:space="preserve">besluiten tot </w:t>
      </w:r>
      <w:r w:rsidRPr="00281569">
        <w:rPr>
          <w:szCs w:val="18"/>
        </w:rPr>
        <w:t>uitsluiting van offertes van partijen bij aanbestedingen.</w:t>
      </w:r>
      <w:r>
        <w:rPr>
          <w:szCs w:val="18"/>
        </w:rPr>
        <w:br/>
      </w:r>
      <w:r>
        <w:br/>
      </w:r>
      <w:r w:rsidRPr="006354C7">
        <w:rPr>
          <w:i/>
          <w:szCs w:val="18"/>
        </w:rPr>
        <w:t>Drempelwaarden</w:t>
      </w:r>
      <w:r>
        <w:rPr>
          <w:i/>
          <w:szCs w:val="18"/>
        </w:rPr>
        <w:br/>
      </w:r>
      <w:r>
        <w:rPr>
          <w:szCs w:val="18"/>
        </w:rPr>
        <w:t xml:space="preserve">In het voorstel van de Commissie uit 2016 zijn aanbestedende diensten verplicht een IPI-maatregel uit te voeren bij aanbestedingen met een opdrachtwaarde boven de € 5 miljoen. In de Raadspositie zijn drempelwaarden voor toepassing van het instrument </w:t>
      </w:r>
      <w:r w:rsidRPr="00214BEB">
        <w:rPr>
          <w:szCs w:val="18"/>
        </w:rPr>
        <w:t xml:space="preserve">gedifferentieerd voor verschillende soorten aanbestedingen om beter aan te sluiten op de praktijk en </w:t>
      </w:r>
      <w:r>
        <w:rPr>
          <w:szCs w:val="18"/>
        </w:rPr>
        <w:t xml:space="preserve">om </w:t>
      </w:r>
      <w:r w:rsidRPr="00214BEB">
        <w:rPr>
          <w:szCs w:val="18"/>
        </w:rPr>
        <w:t>adm</w:t>
      </w:r>
      <w:r>
        <w:rPr>
          <w:szCs w:val="18"/>
        </w:rPr>
        <w:t>inistratieve lasten voor aanbestedende diensten en bedrijven te beperken.</w:t>
      </w:r>
      <w:r>
        <w:rPr>
          <w:i/>
          <w:szCs w:val="18"/>
        </w:rPr>
        <w:t xml:space="preserve"> </w:t>
      </w:r>
      <w:r>
        <w:rPr>
          <w:szCs w:val="18"/>
        </w:rPr>
        <w:t>Voor werken en concessies is gekozen voor een drempelwaarde van €</w:t>
      </w:r>
      <w:r w:rsidRPr="006354C7">
        <w:rPr>
          <w:szCs w:val="18"/>
        </w:rPr>
        <w:t xml:space="preserve"> </w:t>
      </w:r>
      <w:r>
        <w:rPr>
          <w:szCs w:val="18"/>
        </w:rPr>
        <w:t xml:space="preserve">15 miljoen euro; voor goederen (leveringen in termen van aanbestedingsregelgeving) en diensten betreft het een drempelwaarde van € 5 miljoen euro. </w:t>
      </w:r>
      <w:r w:rsidRPr="00A84153">
        <w:rPr>
          <w:szCs w:val="18"/>
        </w:rPr>
        <w:t>De drempelwaarden zijn zo gesteld dat het instrument ongeveer 75% van de waarde van alle aanbestedingen in de EU beslaat</w:t>
      </w:r>
      <w:r>
        <w:rPr>
          <w:szCs w:val="18"/>
        </w:rPr>
        <w:t xml:space="preserve">. Het </w:t>
      </w:r>
      <w:r w:rsidRPr="00F90596">
        <w:rPr>
          <w:szCs w:val="18"/>
        </w:rPr>
        <w:t xml:space="preserve">IPI wordt </w:t>
      </w:r>
      <w:r>
        <w:rPr>
          <w:szCs w:val="18"/>
        </w:rPr>
        <w:t xml:space="preserve">daarnaast </w:t>
      </w:r>
      <w:r w:rsidRPr="00F90596">
        <w:rPr>
          <w:szCs w:val="18"/>
        </w:rPr>
        <w:t>ook van toepassing op specifieke aanbestedingsprocedures voor raamwerkovereenkomsten (waarbij een overeenkomst wordt gesloten en later opdrachten worden weggezet), dynamische aankoopsystemen (een elektronisch proces voor gangbare aankopen</w:t>
      </w:r>
      <w:r w:rsidR="00033902">
        <w:rPr>
          <w:szCs w:val="18"/>
        </w:rPr>
        <w:t xml:space="preserve"> </w:t>
      </w:r>
      <w:r w:rsidR="00033902" w:rsidRPr="00033902">
        <w:rPr>
          <w:szCs w:val="18"/>
        </w:rPr>
        <w:t>die gemakkelijk beschikbaar zijn op de leveranciersmarkt</w:t>
      </w:r>
      <w:r w:rsidR="00033902">
        <w:rPr>
          <w:szCs w:val="18"/>
        </w:rPr>
        <w:t>, en welke openstaat voor alle ondernemers die voldoen aan de eisen voor toelating tot het systeem</w:t>
      </w:r>
      <w:r w:rsidRPr="00F90596">
        <w:rPr>
          <w:szCs w:val="18"/>
        </w:rPr>
        <w:t>) en wanneer een opdracht in percelen in de markt wordt gezet. Oo</w:t>
      </w:r>
      <w:r>
        <w:rPr>
          <w:szCs w:val="18"/>
        </w:rPr>
        <w:t>k hierbij zijn</w:t>
      </w:r>
      <w:r w:rsidRPr="00F90596">
        <w:rPr>
          <w:szCs w:val="18"/>
        </w:rPr>
        <w:t xml:space="preserve"> drempelwaarden</w:t>
      </w:r>
      <w:r>
        <w:rPr>
          <w:szCs w:val="18"/>
        </w:rPr>
        <w:t xml:space="preserve"> van toepassing</w:t>
      </w:r>
      <w:r w:rsidRPr="00F90596">
        <w:rPr>
          <w:szCs w:val="18"/>
        </w:rPr>
        <w:t>.</w:t>
      </w:r>
      <w:r>
        <w:br/>
      </w:r>
      <w:r w:rsidRPr="00460127">
        <w:rPr>
          <w:szCs w:val="18"/>
        </w:rPr>
        <w:br/>
      </w:r>
      <w:r>
        <w:rPr>
          <w:i/>
          <w:szCs w:val="18"/>
        </w:rPr>
        <w:t>Herkomst van de inschrijver en anti-omzeiling</w:t>
      </w:r>
    </w:p>
    <w:p w14:paraId="67CA5B9F" w14:textId="7F2714DA" w:rsidR="008C0681" w:rsidRDefault="008C0681" w:rsidP="008C0681">
      <w:pPr>
        <w:spacing w:line="259" w:lineRule="auto"/>
        <w:rPr>
          <w:szCs w:val="18"/>
        </w:rPr>
      </w:pPr>
      <w:r>
        <w:rPr>
          <w:szCs w:val="18"/>
        </w:rPr>
        <w:t>B</w:t>
      </w:r>
      <w:r w:rsidRPr="00A84153">
        <w:rPr>
          <w:szCs w:val="18"/>
        </w:rPr>
        <w:t>ij toepassing van het instrument wordt gekeken naar het land van herkomst van de inschrijver i</w:t>
      </w:r>
      <w:r>
        <w:rPr>
          <w:szCs w:val="18"/>
        </w:rPr>
        <w:t>n plaats van</w:t>
      </w:r>
      <w:r w:rsidRPr="00A84153">
        <w:rPr>
          <w:szCs w:val="18"/>
        </w:rPr>
        <w:t xml:space="preserve"> naar de herkomst van de goederen en diensten</w:t>
      </w:r>
      <w:r>
        <w:rPr>
          <w:szCs w:val="18"/>
        </w:rPr>
        <w:t>, zoals dat het geval is</w:t>
      </w:r>
      <w:r w:rsidRPr="00A84153">
        <w:rPr>
          <w:szCs w:val="18"/>
        </w:rPr>
        <w:t xml:space="preserve"> in </w:t>
      </w:r>
      <w:r>
        <w:rPr>
          <w:szCs w:val="18"/>
        </w:rPr>
        <w:t xml:space="preserve">het Commissievoorstel </w:t>
      </w:r>
      <w:r w:rsidRPr="00A84153">
        <w:rPr>
          <w:szCs w:val="18"/>
        </w:rPr>
        <w:t>uit 2016. Inschrijvers moeten aantonen wat het land van herkomst is, waarbij wordt gekeken naar het land van vestiging en of er substantiële activiteiten zijn.</w:t>
      </w:r>
      <w:r>
        <w:rPr>
          <w:szCs w:val="18"/>
        </w:rPr>
        <w:t xml:space="preserve"> Tevens bevat de Raadspositie aanvullende en aangescherpte bepalingen </w:t>
      </w:r>
      <w:r w:rsidRPr="00281569">
        <w:rPr>
          <w:szCs w:val="18"/>
        </w:rPr>
        <w:t>om omzeiling</w:t>
      </w:r>
      <w:r>
        <w:rPr>
          <w:szCs w:val="18"/>
        </w:rPr>
        <w:t xml:space="preserve"> van IPI-maatregelen</w:t>
      </w:r>
      <w:r w:rsidRPr="00575BC8">
        <w:rPr>
          <w:szCs w:val="18"/>
        </w:rPr>
        <w:t xml:space="preserve"> </w:t>
      </w:r>
      <w:r w:rsidRPr="00281569">
        <w:rPr>
          <w:szCs w:val="18"/>
        </w:rPr>
        <w:t xml:space="preserve">te voorkomen, </w:t>
      </w:r>
      <w:r>
        <w:rPr>
          <w:szCs w:val="18"/>
        </w:rPr>
        <w:t>bijvoorbeeld</w:t>
      </w:r>
      <w:r w:rsidRPr="00281569">
        <w:rPr>
          <w:szCs w:val="18"/>
        </w:rPr>
        <w:t xml:space="preserve"> via brievenbusfirma’s. </w:t>
      </w:r>
      <w:r>
        <w:rPr>
          <w:szCs w:val="18"/>
        </w:rPr>
        <w:t>Zo</w:t>
      </w:r>
      <w:r w:rsidRPr="00281569">
        <w:rPr>
          <w:szCs w:val="18"/>
        </w:rPr>
        <w:t xml:space="preserve"> moeten </w:t>
      </w:r>
      <w:r>
        <w:rPr>
          <w:szCs w:val="18"/>
        </w:rPr>
        <w:t>partijen</w:t>
      </w:r>
      <w:r w:rsidRPr="00281569">
        <w:rPr>
          <w:szCs w:val="18"/>
        </w:rPr>
        <w:t xml:space="preserve"> die een aanbesteding hebben gewonnen </w:t>
      </w:r>
      <w:r>
        <w:rPr>
          <w:szCs w:val="18"/>
        </w:rPr>
        <w:t xml:space="preserve">op basis van contractuele voorwaarden </w:t>
      </w:r>
      <w:r w:rsidRPr="00281569">
        <w:rPr>
          <w:szCs w:val="18"/>
        </w:rPr>
        <w:t xml:space="preserve">kunnen aantonen dat ze niet alsnog het merendeel van de waarde van een contract </w:t>
      </w:r>
      <w:r>
        <w:rPr>
          <w:szCs w:val="18"/>
        </w:rPr>
        <w:t>inkopen in een land</w:t>
      </w:r>
      <w:r w:rsidRPr="00281569">
        <w:rPr>
          <w:szCs w:val="18"/>
        </w:rPr>
        <w:t xml:space="preserve"> waar een IPI-maatregel tegen van kracht is. </w:t>
      </w:r>
      <w:r w:rsidRPr="00575BC8">
        <w:rPr>
          <w:szCs w:val="18"/>
        </w:rPr>
        <w:t>Dit geldt ook voor inschrijvers uit de EU en GPA-landen.</w:t>
      </w:r>
      <w:r>
        <w:rPr>
          <w:szCs w:val="18"/>
        </w:rPr>
        <w:t xml:space="preserve"> </w:t>
      </w:r>
      <w:r w:rsidRPr="00281569">
        <w:rPr>
          <w:szCs w:val="18"/>
        </w:rPr>
        <w:t>In geval van niet-naleving van de bepalingen kunnen aanbestedende diensten een boete tussen de 10 en 30% van de waarde van het contract opleggen.</w:t>
      </w:r>
      <w:r>
        <w:rPr>
          <w:szCs w:val="18"/>
        </w:rPr>
        <w:t xml:space="preserve"> Om de administratieve lasten voor het Europese </w:t>
      </w:r>
      <w:proofErr w:type="spellStart"/>
      <w:r w:rsidR="00C24A77">
        <w:rPr>
          <w:szCs w:val="18"/>
        </w:rPr>
        <w:t>mkb</w:t>
      </w:r>
      <w:proofErr w:type="spellEnd"/>
      <w:r w:rsidR="00D53C9D">
        <w:rPr>
          <w:szCs w:val="18"/>
        </w:rPr>
        <w:t xml:space="preserve"> </w:t>
      </w:r>
      <w:r>
        <w:rPr>
          <w:szCs w:val="18"/>
        </w:rPr>
        <w:t xml:space="preserve">te beperken, geldt </w:t>
      </w:r>
      <w:r w:rsidRPr="00C245CD">
        <w:rPr>
          <w:szCs w:val="18"/>
        </w:rPr>
        <w:t xml:space="preserve">een uitzondering </w:t>
      </w:r>
      <w:r>
        <w:rPr>
          <w:szCs w:val="18"/>
        </w:rPr>
        <w:t>van de anti-omzeilingsverplichtingen voor deze groep.</w:t>
      </w:r>
      <w:r>
        <w:rPr>
          <w:szCs w:val="18"/>
        </w:rPr>
        <w:br/>
      </w:r>
      <w:r>
        <w:rPr>
          <w:i/>
          <w:szCs w:val="18"/>
        </w:rPr>
        <w:br/>
        <w:t>Uitzonderingsgronden</w:t>
      </w:r>
      <w:r>
        <w:rPr>
          <w:szCs w:val="18"/>
        </w:rPr>
        <w:br/>
        <w:t xml:space="preserve">De Raadspositie kent net als het Commissievoorstel enkele uitzonderingsgronden voor toepassing van IPI-maatregelen. Zo is een uitzondering voorzien wanneer toepassing van het IPI zou leiden tot een </w:t>
      </w:r>
      <w:r w:rsidRPr="00466792">
        <w:rPr>
          <w:szCs w:val="18"/>
        </w:rPr>
        <w:t>disproportionele stijging in de prijs of kosten</w:t>
      </w:r>
      <w:r>
        <w:rPr>
          <w:szCs w:val="18"/>
        </w:rPr>
        <w:t xml:space="preserve"> van een aanbesteding. In de Raadspositie is daarnaast een uitzondering voor toepassing van het IPI</w:t>
      </w:r>
      <w:r w:rsidRPr="00944EB0">
        <w:t xml:space="preserve"> </w:t>
      </w:r>
      <w:r>
        <w:t xml:space="preserve">opgenomen in gevallen van </w:t>
      </w:r>
      <w:r w:rsidRPr="00944EB0">
        <w:rPr>
          <w:szCs w:val="18"/>
        </w:rPr>
        <w:t>dwingende redenen van algemeen belang</w:t>
      </w:r>
      <w:r>
        <w:rPr>
          <w:szCs w:val="18"/>
        </w:rPr>
        <w:t xml:space="preserve">, zoals tijdens </w:t>
      </w:r>
      <w:r w:rsidRPr="00944EB0">
        <w:rPr>
          <w:szCs w:val="18"/>
        </w:rPr>
        <w:t>noodsituaties op het gebied van de volksgezondheid</w:t>
      </w:r>
      <w:r>
        <w:rPr>
          <w:szCs w:val="18"/>
        </w:rPr>
        <w:t xml:space="preserve">. </w:t>
      </w:r>
      <w:r w:rsidRPr="00466792">
        <w:rPr>
          <w:szCs w:val="18"/>
        </w:rPr>
        <w:t xml:space="preserve">In geval van toepassing van </w:t>
      </w:r>
      <w:r>
        <w:rPr>
          <w:szCs w:val="18"/>
        </w:rPr>
        <w:t xml:space="preserve">een uitzonderingsgrond </w:t>
      </w:r>
      <w:r w:rsidRPr="00466792">
        <w:rPr>
          <w:szCs w:val="18"/>
        </w:rPr>
        <w:t>door aanbeste</w:t>
      </w:r>
      <w:r>
        <w:rPr>
          <w:szCs w:val="18"/>
        </w:rPr>
        <w:t>dende diensten, dienen lidstaten</w:t>
      </w:r>
      <w:r w:rsidRPr="00466792">
        <w:rPr>
          <w:szCs w:val="18"/>
        </w:rPr>
        <w:t xml:space="preserve"> de Commissie </w:t>
      </w:r>
      <w:r>
        <w:rPr>
          <w:szCs w:val="18"/>
        </w:rPr>
        <w:t xml:space="preserve">adequaat </w:t>
      </w:r>
      <w:r w:rsidRPr="00466792">
        <w:rPr>
          <w:szCs w:val="18"/>
        </w:rPr>
        <w:t xml:space="preserve">te informeren met het oog op uniforme toepassing </w:t>
      </w:r>
      <w:r>
        <w:rPr>
          <w:szCs w:val="18"/>
        </w:rPr>
        <w:t xml:space="preserve">en effectiviteit </w:t>
      </w:r>
      <w:r w:rsidRPr="00466792">
        <w:rPr>
          <w:szCs w:val="18"/>
        </w:rPr>
        <w:t>van het instrument.</w:t>
      </w:r>
      <w:r>
        <w:rPr>
          <w:szCs w:val="18"/>
        </w:rPr>
        <w:br/>
      </w:r>
      <w:r>
        <w:rPr>
          <w:szCs w:val="18"/>
        </w:rPr>
        <w:br/>
        <w:t>Vergeleken met het Commissie</w:t>
      </w:r>
      <w:r w:rsidRPr="00944EB0">
        <w:rPr>
          <w:szCs w:val="18"/>
        </w:rPr>
        <w:t xml:space="preserve">voorstel uit 2016 bevat de </w:t>
      </w:r>
      <w:r>
        <w:rPr>
          <w:szCs w:val="18"/>
        </w:rPr>
        <w:t>Raadspositie</w:t>
      </w:r>
      <w:r w:rsidRPr="00944EB0">
        <w:rPr>
          <w:szCs w:val="18"/>
        </w:rPr>
        <w:t xml:space="preserve"> geen </w:t>
      </w:r>
      <w:r>
        <w:rPr>
          <w:szCs w:val="18"/>
        </w:rPr>
        <w:t>apart</w:t>
      </w:r>
      <w:r w:rsidR="00D53C9D">
        <w:rPr>
          <w:szCs w:val="18"/>
        </w:rPr>
        <w:t>e</w:t>
      </w:r>
      <w:r>
        <w:rPr>
          <w:szCs w:val="18"/>
        </w:rPr>
        <w:t xml:space="preserve"> </w:t>
      </w:r>
      <w:r w:rsidR="00D53C9D">
        <w:rPr>
          <w:szCs w:val="18"/>
        </w:rPr>
        <w:t xml:space="preserve">bepaling </w:t>
      </w:r>
      <w:r>
        <w:rPr>
          <w:szCs w:val="18"/>
        </w:rPr>
        <w:t>over uitsluiting van toepassing van het IPI op</w:t>
      </w:r>
      <w:r w:rsidRPr="00944EB0">
        <w:rPr>
          <w:szCs w:val="18"/>
        </w:rPr>
        <w:t xml:space="preserve"> </w:t>
      </w:r>
      <w:r>
        <w:rPr>
          <w:szCs w:val="18"/>
        </w:rPr>
        <w:t>minst ontwikkelde landen</w:t>
      </w:r>
      <w:r w:rsidRPr="00944EB0">
        <w:rPr>
          <w:szCs w:val="18"/>
        </w:rPr>
        <w:t xml:space="preserve">. Reden </w:t>
      </w:r>
      <w:r>
        <w:rPr>
          <w:szCs w:val="18"/>
        </w:rPr>
        <w:t>voor deze wijziging</w:t>
      </w:r>
      <w:r w:rsidRPr="00944EB0">
        <w:rPr>
          <w:szCs w:val="18"/>
        </w:rPr>
        <w:t xml:space="preserve"> </w:t>
      </w:r>
      <w:r>
        <w:rPr>
          <w:szCs w:val="18"/>
        </w:rPr>
        <w:t xml:space="preserve">is het breed gedeelde aandachtspunt dat IPI-maatregelen via minst ontwikkelde landen omzeild zouden kunnen worden. Met deze wijziging kan deze vorm van </w:t>
      </w:r>
      <w:r w:rsidRPr="00944EB0">
        <w:rPr>
          <w:szCs w:val="18"/>
        </w:rPr>
        <w:t xml:space="preserve">omzeiling </w:t>
      </w:r>
      <w:r>
        <w:rPr>
          <w:szCs w:val="18"/>
        </w:rPr>
        <w:t>worden geadresseerd via het instrument</w:t>
      </w:r>
      <w:r w:rsidRPr="00944EB0">
        <w:rPr>
          <w:szCs w:val="18"/>
        </w:rPr>
        <w:t>.</w:t>
      </w:r>
      <w:r>
        <w:rPr>
          <w:szCs w:val="18"/>
        </w:rPr>
        <w:t xml:space="preserve"> Om alsnog rekening te houden met de ontwikkelingsdoelstellingen van de EU, is op verzoek van Nederland </w:t>
      </w:r>
      <w:r w:rsidRPr="00944EB0">
        <w:rPr>
          <w:szCs w:val="18"/>
        </w:rPr>
        <w:t xml:space="preserve">een </w:t>
      </w:r>
      <w:r w:rsidR="00E677F5">
        <w:rPr>
          <w:szCs w:val="18"/>
        </w:rPr>
        <w:t>overweging</w:t>
      </w:r>
      <w:r w:rsidRPr="00944EB0">
        <w:rPr>
          <w:szCs w:val="18"/>
        </w:rPr>
        <w:t xml:space="preserve"> </w:t>
      </w:r>
      <w:r>
        <w:rPr>
          <w:szCs w:val="18"/>
        </w:rPr>
        <w:t xml:space="preserve">opgenomen </w:t>
      </w:r>
      <w:r w:rsidRPr="00944EB0">
        <w:rPr>
          <w:szCs w:val="18"/>
        </w:rPr>
        <w:t xml:space="preserve">waarin </w:t>
      </w:r>
      <w:r>
        <w:rPr>
          <w:szCs w:val="18"/>
        </w:rPr>
        <w:t>wordt</w:t>
      </w:r>
      <w:r w:rsidRPr="00944EB0">
        <w:rPr>
          <w:szCs w:val="18"/>
        </w:rPr>
        <w:t xml:space="preserve"> verduidelijkt dat enkel in geval van een redelijke indicatie van omzeiling, toepassing van </w:t>
      </w:r>
      <w:r>
        <w:rPr>
          <w:szCs w:val="18"/>
        </w:rPr>
        <w:t xml:space="preserve">het </w:t>
      </w:r>
      <w:r w:rsidRPr="00944EB0">
        <w:rPr>
          <w:szCs w:val="18"/>
        </w:rPr>
        <w:t xml:space="preserve">IPI op </w:t>
      </w:r>
      <w:r>
        <w:rPr>
          <w:szCs w:val="18"/>
        </w:rPr>
        <w:t>minst ontwikkelde landen voorzien</w:t>
      </w:r>
      <w:r w:rsidRPr="00944EB0">
        <w:rPr>
          <w:szCs w:val="18"/>
        </w:rPr>
        <w:t xml:space="preserve"> is.</w:t>
      </w:r>
      <w:r>
        <w:rPr>
          <w:szCs w:val="18"/>
        </w:rPr>
        <w:br/>
      </w:r>
      <w:r>
        <w:rPr>
          <w:szCs w:val="18"/>
        </w:rPr>
        <w:br/>
      </w:r>
      <w:r w:rsidRPr="008510D8">
        <w:rPr>
          <w:szCs w:val="18"/>
          <w:u w:val="single"/>
        </w:rPr>
        <w:t>Appreciatie</w:t>
      </w:r>
      <w:r>
        <w:rPr>
          <w:szCs w:val="18"/>
        </w:rPr>
        <w:br/>
      </w:r>
      <w:r w:rsidRPr="003F0FD9">
        <w:rPr>
          <w:szCs w:val="18"/>
        </w:rPr>
        <w:t xml:space="preserve">Het kabinet </w:t>
      </w:r>
      <w:r>
        <w:rPr>
          <w:szCs w:val="18"/>
        </w:rPr>
        <w:t>heeft</w:t>
      </w:r>
      <w:r w:rsidRPr="003F0FD9">
        <w:rPr>
          <w:szCs w:val="18"/>
        </w:rPr>
        <w:t xml:space="preserve"> in de besprekingen in</w:t>
      </w:r>
      <w:r>
        <w:rPr>
          <w:szCs w:val="18"/>
        </w:rPr>
        <w:t xml:space="preserve"> Raadsverband ingezet</w:t>
      </w:r>
      <w:r w:rsidRPr="003F0FD9">
        <w:rPr>
          <w:szCs w:val="18"/>
        </w:rPr>
        <w:t xml:space="preserve"> op een effectief instrument, dat zo weinig mogelijke administratieve lasten met zich meebrengt</w:t>
      </w:r>
      <w:r>
        <w:rPr>
          <w:szCs w:val="18"/>
        </w:rPr>
        <w:t>. De Raadspositie vormt volgens het kabinet een goede balans</w:t>
      </w:r>
      <w:r w:rsidRPr="00C243A6">
        <w:rPr>
          <w:szCs w:val="18"/>
        </w:rPr>
        <w:t xml:space="preserve"> </w:t>
      </w:r>
      <w:r w:rsidRPr="00575BC8">
        <w:rPr>
          <w:szCs w:val="18"/>
        </w:rPr>
        <w:t>tussen een stevig instrument en het tegengaan van omzeiling enerzijds</w:t>
      </w:r>
      <w:r>
        <w:rPr>
          <w:szCs w:val="18"/>
        </w:rPr>
        <w:t xml:space="preserve">, </w:t>
      </w:r>
      <w:r w:rsidRPr="00575BC8">
        <w:rPr>
          <w:szCs w:val="18"/>
        </w:rPr>
        <w:t>en beperkte administratieve lasten voor aanbestedende diensten en het bedrijfsleven anderzijds</w:t>
      </w:r>
      <w:r>
        <w:rPr>
          <w:szCs w:val="18"/>
        </w:rPr>
        <w:t>. Deze balans is zichtbaar in verschillende onderdelen van het instrument, die hieronder worden toegelicht.</w:t>
      </w:r>
      <w:r>
        <w:rPr>
          <w:szCs w:val="18"/>
        </w:rPr>
        <w:br/>
      </w:r>
    </w:p>
    <w:p w14:paraId="5929C9C9" w14:textId="05EA54F0" w:rsidR="008C0681" w:rsidRDefault="008C0681" w:rsidP="008C0681">
      <w:pPr>
        <w:rPr>
          <w:szCs w:val="18"/>
        </w:rPr>
      </w:pPr>
      <w:r>
        <w:rPr>
          <w:i/>
          <w:szCs w:val="18"/>
        </w:rPr>
        <w:t>Onderzoek, consultaties en betrokkenheid lidstaten</w:t>
      </w:r>
      <w:r>
        <w:rPr>
          <w:i/>
          <w:szCs w:val="18"/>
        </w:rPr>
        <w:br/>
      </w:r>
      <w:r>
        <w:rPr>
          <w:szCs w:val="18"/>
        </w:rPr>
        <w:t xml:space="preserve">Het is voor het kabinet van belang dat lidstaten </w:t>
      </w:r>
      <w:r w:rsidRPr="00853629">
        <w:rPr>
          <w:szCs w:val="18"/>
        </w:rPr>
        <w:t>voldoende zeggenschap hebben in de toepassing van het instrument gezien de grote politieke impact die het kan hebben.</w:t>
      </w:r>
      <w:r>
        <w:rPr>
          <w:szCs w:val="18"/>
        </w:rPr>
        <w:t xml:space="preserve"> Ook is het van belang dat lidstaten tijdig geïnformeerd worden door de Commissie. Aan beide aandachtspunten wordt tegemoet</w:t>
      </w:r>
      <w:r w:rsidR="00D53C9D">
        <w:rPr>
          <w:szCs w:val="18"/>
        </w:rPr>
        <w:t xml:space="preserve"> </w:t>
      </w:r>
      <w:r>
        <w:rPr>
          <w:szCs w:val="18"/>
        </w:rPr>
        <w:t xml:space="preserve">gekomen in de Raadspositie. </w:t>
      </w:r>
      <w:r>
        <w:rPr>
          <w:szCs w:val="18"/>
        </w:rPr>
        <w:br/>
      </w:r>
      <w:r>
        <w:rPr>
          <w:szCs w:val="18"/>
        </w:rPr>
        <w:br/>
      </w:r>
      <w:r>
        <w:rPr>
          <w:i/>
          <w:szCs w:val="18"/>
        </w:rPr>
        <w:t>Vorm van IPI-maatregel</w:t>
      </w:r>
      <w:r>
        <w:rPr>
          <w:szCs w:val="18"/>
        </w:rPr>
        <w:br/>
        <w:t>Zoals eerder gemeld aan uw Kamer was h</w:t>
      </w:r>
      <w:r w:rsidRPr="003F0FD9">
        <w:rPr>
          <w:szCs w:val="18"/>
        </w:rPr>
        <w:t>et kabinet niet overtuigd van de effectiviteit van een prijsopslag van maximaal 20%</w:t>
      </w:r>
      <w:r>
        <w:rPr>
          <w:szCs w:val="18"/>
        </w:rPr>
        <w:t>, en stond derhalve open voor een steviger invulling van het instrument</w:t>
      </w:r>
      <w:r w:rsidRPr="003F0FD9">
        <w:rPr>
          <w:szCs w:val="18"/>
        </w:rPr>
        <w:t xml:space="preserve">. </w:t>
      </w:r>
      <w:r>
        <w:rPr>
          <w:szCs w:val="18"/>
        </w:rPr>
        <w:t xml:space="preserve">Met </w:t>
      </w:r>
      <w:r w:rsidRPr="003F0FD9">
        <w:rPr>
          <w:szCs w:val="18"/>
        </w:rPr>
        <w:t xml:space="preserve">een bredere scoreopslag van </w:t>
      </w:r>
      <w:r>
        <w:rPr>
          <w:szCs w:val="18"/>
        </w:rPr>
        <w:t>maximaal</w:t>
      </w:r>
      <w:r w:rsidRPr="003F0FD9">
        <w:rPr>
          <w:szCs w:val="18"/>
        </w:rPr>
        <w:t xml:space="preserve"> 40</w:t>
      </w:r>
      <w:r>
        <w:rPr>
          <w:szCs w:val="18"/>
        </w:rPr>
        <w:t>% en een uiterste mogelijkheid tot uitsluiting van offertes is de effectiviteit van het instrument vergroot.</w:t>
      </w:r>
      <w:r>
        <w:rPr>
          <w:szCs w:val="18"/>
        </w:rPr>
        <w:br/>
      </w:r>
      <w:r>
        <w:rPr>
          <w:szCs w:val="18"/>
        </w:rPr>
        <w:br/>
      </w:r>
      <w:r w:rsidRPr="006354C7">
        <w:rPr>
          <w:i/>
          <w:szCs w:val="18"/>
        </w:rPr>
        <w:t>Drempelwaarden</w:t>
      </w:r>
      <w:r>
        <w:rPr>
          <w:i/>
          <w:szCs w:val="18"/>
        </w:rPr>
        <w:br/>
      </w:r>
      <w:r>
        <w:rPr>
          <w:szCs w:val="18"/>
        </w:rPr>
        <w:t>Het kabinet was</w:t>
      </w:r>
      <w:r w:rsidRPr="003F0FD9">
        <w:rPr>
          <w:szCs w:val="18"/>
        </w:rPr>
        <w:t xml:space="preserve"> voorstander van het verhogen van de drempelwaarde voor werken met het oog op beperking van de administratieve lasten voor aanbestedende diensten en bedrijven</w:t>
      </w:r>
      <w:r>
        <w:rPr>
          <w:szCs w:val="18"/>
        </w:rPr>
        <w:t xml:space="preserve">. Met de huidige, gedifferentieerde drempelwaarden en aanvullende bepalingen over </w:t>
      </w:r>
      <w:r w:rsidRPr="003F0FD9">
        <w:rPr>
          <w:szCs w:val="18"/>
        </w:rPr>
        <w:t xml:space="preserve">toepassing </w:t>
      </w:r>
      <w:r>
        <w:rPr>
          <w:szCs w:val="18"/>
        </w:rPr>
        <w:t xml:space="preserve">van het IPI </w:t>
      </w:r>
      <w:r w:rsidRPr="003F0FD9">
        <w:rPr>
          <w:szCs w:val="18"/>
        </w:rPr>
        <w:t>op specifieke aanbestedingsprocedures</w:t>
      </w:r>
      <w:r>
        <w:rPr>
          <w:szCs w:val="18"/>
        </w:rPr>
        <w:t xml:space="preserve"> worden administratieve lasten verder beperkt</w:t>
      </w:r>
      <w:r w:rsidRPr="00853629">
        <w:rPr>
          <w:szCs w:val="18"/>
        </w:rPr>
        <w:t xml:space="preserve"> </w:t>
      </w:r>
      <w:r>
        <w:rPr>
          <w:szCs w:val="18"/>
        </w:rPr>
        <w:t xml:space="preserve">en sluit het instrument </w:t>
      </w:r>
      <w:r w:rsidRPr="00214BEB">
        <w:rPr>
          <w:szCs w:val="18"/>
        </w:rPr>
        <w:t xml:space="preserve">beter aan </w:t>
      </w:r>
      <w:r>
        <w:rPr>
          <w:szCs w:val="18"/>
        </w:rPr>
        <w:t>o</w:t>
      </w:r>
      <w:r w:rsidRPr="00214BEB">
        <w:rPr>
          <w:szCs w:val="18"/>
        </w:rPr>
        <w:t xml:space="preserve">p de </w:t>
      </w:r>
      <w:r>
        <w:rPr>
          <w:szCs w:val="18"/>
        </w:rPr>
        <w:t>aanbestedings</w:t>
      </w:r>
      <w:r w:rsidRPr="00214BEB">
        <w:rPr>
          <w:szCs w:val="18"/>
        </w:rPr>
        <w:t>praktijk</w:t>
      </w:r>
      <w:r>
        <w:rPr>
          <w:szCs w:val="18"/>
        </w:rPr>
        <w:t xml:space="preserve"> in de EU.</w:t>
      </w:r>
      <w:r>
        <w:rPr>
          <w:szCs w:val="18"/>
        </w:rPr>
        <w:br/>
      </w:r>
    </w:p>
    <w:p w14:paraId="332F1ADB" w14:textId="77777777" w:rsidR="008C0681" w:rsidRPr="00D311F7" w:rsidRDefault="008C0681" w:rsidP="008C0681">
      <w:r>
        <w:rPr>
          <w:i/>
          <w:szCs w:val="18"/>
        </w:rPr>
        <w:t>Herkomst van de inschrijver en anti-omzeiling</w:t>
      </w:r>
    </w:p>
    <w:p w14:paraId="3126208C" w14:textId="002A73E0" w:rsidR="008C0681" w:rsidRDefault="00EB52CB" w:rsidP="008C0681">
      <w:pPr>
        <w:spacing w:line="259" w:lineRule="auto"/>
        <w:rPr>
          <w:szCs w:val="18"/>
        </w:rPr>
      </w:pPr>
      <w:r>
        <w:rPr>
          <w:szCs w:val="18"/>
        </w:rPr>
        <w:t>Door de</w:t>
      </w:r>
      <w:r w:rsidR="008C0681">
        <w:rPr>
          <w:szCs w:val="18"/>
        </w:rPr>
        <w:t xml:space="preserve"> verschuiving naar een focus op de herkomst van de inschrijver in combinatie met</w:t>
      </w:r>
      <w:r>
        <w:rPr>
          <w:szCs w:val="18"/>
        </w:rPr>
        <w:t xml:space="preserve"> contractuele voorwaarden ter voorkoming van omzeiling is volgens het kabinet een goede balans gevonden tussen het verder terugbrengen van </w:t>
      </w:r>
      <w:r w:rsidR="008C0681">
        <w:rPr>
          <w:szCs w:val="18"/>
        </w:rPr>
        <w:t xml:space="preserve">administratieve lasten </w:t>
      </w:r>
      <w:r>
        <w:rPr>
          <w:szCs w:val="18"/>
        </w:rPr>
        <w:t>en behoud van effectiviteit van het IPI door anti-omzeilingsbepalingen</w:t>
      </w:r>
      <w:r w:rsidR="008C0681">
        <w:rPr>
          <w:szCs w:val="18"/>
        </w:rPr>
        <w:t>.</w:t>
      </w:r>
    </w:p>
    <w:p w14:paraId="1EBB5E4C" w14:textId="2D1BE2BF" w:rsidR="008C0681" w:rsidRDefault="008C0681" w:rsidP="008C0681">
      <w:pPr>
        <w:spacing w:after="160" w:line="259" w:lineRule="auto"/>
        <w:rPr>
          <w:szCs w:val="18"/>
        </w:rPr>
      </w:pPr>
      <w:r w:rsidRPr="005E51B3">
        <w:rPr>
          <w:i/>
          <w:iCs/>
          <w:szCs w:val="18"/>
        </w:rPr>
        <w:br/>
      </w:r>
      <w:r w:rsidRPr="00D66086">
        <w:rPr>
          <w:i/>
          <w:szCs w:val="18"/>
        </w:rPr>
        <w:t>Uitzonderingsgronden</w:t>
      </w:r>
      <w:r>
        <w:rPr>
          <w:i/>
          <w:szCs w:val="18"/>
        </w:rPr>
        <w:t xml:space="preserve"> </w:t>
      </w:r>
      <w:r w:rsidR="00F55799">
        <w:rPr>
          <w:i/>
          <w:szCs w:val="18"/>
        </w:rPr>
        <w:br/>
      </w:r>
      <w:r>
        <w:rPr>
          <w:szCs w:val="18"/>
        </w:rPr>
        <w:t>Het is voor het kabinet wenselijk dat het instrument een noodventiel biedt voor lidstaten om in uitzonderlijke gevallen te kunnen besluiten om IPI-maatregelen niet toe te passen. De uitzonderingen in de Raadspositie zijn volgens het kabinet voldoende ingekaderd om uniforme toepassing en effectiviteit van het instrument te borgen.</w:t>
      </w:r>
    </w:p>
    <w:p w14:paraId="151D4F5F" w14:textId="347601CF" w:rsidR="008C0681" w:rsidRPr="008F0274" w:rsidRDefault="008C0681" w:rsidP="008C0681">
      <w:pPr>
        <w:spacing w:after="160" w:line="259" w:lineRule="auto"/>
        <w:rPr>
          <w:szCs w:val="18"/>
        </w:rPr>
      </w:pPr>
      <w:r>
        <w:rPr>
          <w:i/>
          <w:szCs w:val="18"/>
        </w:rPr>
        <w:t xml:space="preserve">Behoud </w:t>
      </w:r>
      <w:r w:rsidR="00D53C9D">
        <w:rPr>
          <w:i/>
          <w:szCs w:val="18"/>
        </w:rPr>
        <w:t xml:space="preserve">nationale </w:t>
      </w:r>
      <w:r>
        <w:rPr>
          <w:i/>
          <w:szCs w:val="18"/>
        </w:rPr>
        <w:t>bevoegdheid restrictieve maatregelen</w:t>
      </w:r>
      <w:r>
        <w:rPr>
          <w:szCs w:val="18"/>
        </w:rPr>
        <w:br/>
        <w:t>Het kabinet heeft er op aangedrongen</w:t>
      </w:r>
      <w:r w:rsidRPr="003F0FD9">
        <w:rPr>
          <w:szCs w:val="18"/>
        </w:rPr>
        <w:t xml:space="preserve"> dat de bestaande bevo</w:t>
      </w:r>
      <w:r>
        <w:rPr>
          <w:szCs w:val="18"/>
        </w:rPr>
        <w:t xml:space="preserve">egdheid van lidstaten </w:t>
      </w:r>
      <w:r w:rsidRPr="003F0FD9">
        <w:rPr>
          <w:szCs w:val="18"/>
        </w:rPr>
        <w:t>om restrictieve maatregelen te treffen volgens de ruimte die de aanbestedingsrichtlijnen bieden</w:t>
      </w:r>
      <w:r>
        <w:rPr>
          <w:szCs w:val="18"/>
        </w:rPr>
        <w:t xml:space="preserve"> in stand blijft</w:t>
      </w:r>
      <w:r w:rsidRPr="003F0FD9">
        <w:rPr>
          <w:szCs w:val="18"/>
        </w:rPr>
        <w:t xml:space="preserve">. </w:t>
      </w:r>
      <w:r>
        <w:rPr>
          <w:szCs w:val="18"/>
        </w:rPr>
        <w:t xml:space="preserve">Dit is het geval in de Raadspositie. </w:t>
      </w:r>
      <w:r>
        <w:rPr>
          <w:szCs w:val="18"/>
        </w:rPr>
        <w:br/>
      </w:r>
      <w:r>
        <w:rPr>
          <w:szCs w:val="18"/>
        </w:rPr>
        <w:br/>
      </w:r>
      <w:r w:rsidRPr="00853629">
        <w:rPr>
          <w:i/>
          <w:szCs w:val="18"/>
        </w:rPr>
        <w:t>Tijdige informatievoorziening</w:t>
      </w:r>
      <w:r>
        <w:rPr>
          <w:szCs w:val="18"/>
        </w:rPr>
        <w:br/>
        <w:t>Het IPI</w:t>
      </w:r>
      <w:r w:rsidRPr="008F0274">
        <w:rPr>
          <w:szCs w:val="18"/>
        </w:rPr>
        <w:t xml:space="preserve"> bevat</w:t>
      </w:r>
      <w:r>
        <w:rPr>
          <w:szCs w:val="18"/>
        </w:rPr>
        <w:t xml:space="preserve"> tot slot</w:t>
      </w:r>
      <w:r w:rsidRPr="008F0274">
        <w:rPr>
          <w:szCs w:val="18"/>
        </w:rPr>
        <w:t xml:space="preserve"> verschillende verplichting</w:t>
      </w:r>
      <w:r>
        <w:rPr>
          <w:szCs w:val="18"/>
        </w:rPr>
        <w:t xml:space="preserve">en voor aanbestedende diensten </w:t>
      </w:r>
      <w:r w:rsidRPr="008F0274">
        <w:rPr>
          <w:szCs w:val="18"/>
        </w:rPr>
        <w:t xml:space="preserve">waar </w:t>
      </w:r>
      <w:r>
        <w:rPr>
          <w:szCs w:val="18"/>
        </w:rPr>
        <w:t xml:space="preserve">aanbestedende diensten </w:t>
      </w:r>
      <w:r w:rsidRPr="00126D28">
        <w:rPr>
          <w:szCs w:val="18"/>
        </w:rPr>
        <w:t xml:space="preserve">nog weinig ervaring mee hebben en </w:t>
      </w:r>
      <w:r>
        <w:rPr>
          <w:szCs w:val="18"/>
        </w:rPr>
        <w:t>die</w:t>
      </w:r>
      <w:r w:rsidRPr="00126D28">
        <w:rPr>
          <w:szCs w:val="18"/>
        </w:rPr>
        <w:t xml:space="preserve"> nader uitgewerkt moet</w:t>
      </w:r>
      <w:r>
        <w:rPr>
          <w:szCs w:val="18"/>
        </w:rPr>
        <w:t>en</w:t>
      </w:r>
      <w:r w:rsidRPr="00126D28">
        <w:rPr>
          <w:szCs w:val="18"/>
        </w:rPr>
        <w:t xml:space="preserve"> worden</w:t>
      </w:r>
      <w:r>
        <w:rPr>
          <w:szCs w:val="18"/>
        </w:rPr>
        <w:t>. Het gaat dan bijvoorbeeld om de b</w:t>
      </w:r>
      <w:r w:rsidRPr="008F0274">
        <w:rPr>
          <w:szCs w:val="18"/>
        </w:rPr>
        <w:t>eoordeling van gegevens o</w:t>
      </w:r>
      <w:r>
        <w:rPr>
          <w:szCs w:val="18"/>
        </w:rPr>
        <w:t xml:space="preserve">m te controleren dat een </w:t>
      </w:r>
      <w:r w:rsidRPr="008F0274">
        <w:rPr>
          <w:szCs w:val="18"/>
        </w:rPr>
        <w:t>IPI-maatregel</w:t>
      </w:r>
      <w:r>
        <w:rPr>
          <w:szCs w:val="18"/>
        </w:rPr>
        <w:t xml:space="preserve"> niet omzeild wordt</w:t>
      </w:r>
      <w:r w:rsidRPr="008F0274">
        <w:rPr>
          <w:szCs w:val="18"/>
        </w:rPr>
        <w:t>.</w:t>
      </w:r>
      <w:r>
        <w:rPr>
          <w:szCs w:val="18"/>
        </w:rPr>
        <w:t xml:space="preserve"> Nederland</w:t>
      </w:r>
      <w:r w:rsidRPr="008F0274">
        <w:rPr>
          <w:szCs w:val="18"/>
        </w:rPr>
        <w:t xml:space="preserve"> heeft tijdens besprekingen </w:t>
      </w:r>
      <w:r>
        <w:rPr>
          <w:szCs w:val="18"/>
        </w:rPr>
        <w:t xml:space="preserve">in Raadsverband </w:t>
      </w:r>
      <w:r w:rsidRPr="008F0274">
        <w:rPr>
          <w:szCs w:val="18"/>
        </w:rPr>
        <w:t xml:space="preserve">veelvuldig aandacht gevraagd voor het belang van tijdige </w:t>
      </w:r>
      <w:r>
        <w:rPr>
          <w:szCs w:val="18"/>
        </w:rPr>
        <w:t>informatievoorziening door de Commissie en lidstaten richting aanbestedende diensten</w:t>
      </w:r>
      <w:r w:rsidRPr="008F0274">
        <w:rPr>
          <w:szCs w:val="18"/>
        </w:rPr>
        <w:t xml:space="preserve">. </w:t>
      </w:r>
      <w:r>
        <w:rPr>
          <w:szCs w:val="18"/>
        </w:rPr>
        <w:t>Nederland zal hier in het vervolgproces aandacht voor blijven vragen.</w:t>
      </w:r>
      <w:r w:rsidRPr="001264F8">
        <w:rPr>
          <w:szCs w:val="18"/>
        </w:rPr>
        <w:t xml:space="preserve"> </w:t>
      </w:r>
      <w:r w:rsidR="00D53C9D">
        <w:rPr>
          <w:szCs w:val="18"/>
        </w:rPr>
        <w:t xml:space="preserve">De </w:t>
      </w:r>
      <w:r>
        <w:rPr>
          <w:szCs w:val="18"/>
        </w:rPr>
        <w:t>Commissie is voornemens om met richtsnoeren te komen voor aanbestedende diensten.</w:t>
      </w:r>
      <w:r>
        <w:rPr>
          <w:szCs w:val="18"/>
        </w:rPr>
        <w:br/>
      </w:r>
    </w:p>
    <w:p w14:paraId="5F36E68B" w14:textId="77777777" w:rsidR="0052042F" w:rsidRPr="00D057D9" w:rsidRDefault="0052042F" w:rsidP="003B6109">
      <w:pPr>
        <w:rPr>
          <w:b/>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C37FE1" w14:paraId="4DE8F606" w14:textId="77777777" w:rsidTr="004B169E">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sdtContent>
            <w:tc>
              <w:tcPr>
                <w:tcW w:w="2500" w:type="pct"/>
              </w:tcPr>
              <w:p w14:paraId="58373F55" w14:textId="69878C62" w:rsidR="00657D4A" w:rsidRPr="00C37FE1" w:rsidRDefault="00543C52" w:rsidP="008C0681">
                <w:r>
                  <w:t>De m</w:t>
                </w:r>
                <w:r w:rsidR="008C0681" w:rsidRPr="008C0681">
                  <w:t>inister van Buitenlandse Zaken,</w:t>
                </w:r>
                <w:r w:rsidR="008C0681">
                  <w:br/>
                </w:r>
                <w:r w:rsidR="006D428F">
                  <w:br/>
                </w:r>
                <w:r w:rsidR="006D428F">
                  <w:br/>
                </w:r>
                <w:r w:rsidR="006D428F">
                  <w:br/>
                </w:r>
                <w:r w:rsidR="008C0681">
                  <w:br/>
                </w:r>
                <w:r w:rsidR="006D428F">
                  <w:br/>
                </w:r>
                <w:r w:rsidR="008C0681">
                  <w:br/>
                </w:r>
                <w:r w:rsidR="008C0681">
                  <w:br/>
                </w:r>
                <w:r w:rsidR="008C0681" w:rsidRPr="008C0681">
                  <w:t>Sigrid A.M. Kaag</w:t>
                </w:r>
              </w:p>
            </w:tc>
          </w:sdtContent>
        </w:sdt>
        <w:sdt>
          <w:sdtPr>
            <w:alias w:val="Ondertekenaar 2"/>
            <w:tag w:val="Ondertekenaar_x0020_2"/>
            <w:id w:val="2131046109"/>
            <w:placeholder>
              <w:docPart w:val="EA88E6D9ABBD466AB0ACF438F89431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sdtContent>
            <w:tc>
              <w:tcPr>
                <w:tcW w:w="2500" w:type="pct"/>
              </w:tcPr>
              <w:p w14:paraId="5A857BBD" w14:textId="6D96EE34" w:rsidR="00657D4A" w:rsidRPr="00C37FE1" w:rsidRDefault="00543C52" w:rsidP="008C0681">
                <w:r>
                  <w:t>De s</w:t>
                </w:r>
                <w:r w:rsidR="008C0681" w:rsidRPr="008C0681">
                  <w:t>taatssecretaris van Economische Zaken en Klimaat,</w:t>
                </w:r>
                <w:r w:rsidR="008C0681">
                  <w:br/>
                </w:r>
                <w:r w:rsidR="008C0681">
                  <w:br/>
                </w:r>
                <w:r w:rsidR="006D428F">
                  <w:br/>
                </w:r>
                <w:r w:rsidR="006D428F">
                  <w:br/>
                </w:r>
                <w:r w:rsidR="006D428F">
                  <w:br/>
                </w:r>
                <w:r w:rsidR="006D428F">
                  <w:br/>
                </w:r>
                <w:r w:rsidR="008C0681">
                  <w:br/>
                </w:r>
                <w:r w:rsidR="008C0681" w:rsidRPr="008C0681">
                  <w:t>Mona Keijzer</w:t>
                </w:r>
              </w:p>
            </w:tc>
          </w:sdtContent>
        </w:sdt>
      </w:tr>
    </w:tbl>
    <w:p w14:paraId="7D332163" w14:textId="77777777" w:rsidR="00D057D9" w:rsidRDefault="00D057D9" w:rsidP="00EE5E5D"/>
    <w:p w14:paraId="2D94D1AC" w14:textId="77777777" w:rsidR="003A2FD6" w:rsidRDefault="003A2FD6" w:rsidP="00EE5E5D"/>
    <w:p w14:paraId="413C6CF4" w14:textId="77777777" w:rsidR="003A2FD6" w:rsidRDefault="003A2FD6" w:rsidP="00EE5E5D"/>
    <w:p w14:paraId="462CB2B1" w14:textId="77777777" w:rsidR="003A2FD6" w:rsidRDefault="003A2FD6" w:rsidP="00EE5E5D"/>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3A2FD6" w:rsidRPr="00C37FE1" w14:paraId="2C14A50E" w14:textId="77777777" w:rsidTr="00221464">
        <w:trPr>
          <w:trHeight w:val="1095"/>
        </w:trPr>
        <w:tc>
          <w:tcPr>
            <w:tcW w:w="2500" w:type="pct"/>
          </w:tcPr>
          <w:p w14:paraId="3BD01947" w14:textId="77777777" w:rsidR="003A2FD6" w:rsidRPr="00C37FE1" w:rsidRDefault="00042676" w:rsidP="003573B1">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edf4a857-f8d7-4424-bfe9-5373be5feed5' xmlns:ns4='a968f643-972d-4667-9c7d-fd76f2567ee3' " w:xpath="/ns0:properties[1]/documentManagement[1]/ns4:Ondertekenaar_x0020_3[1]" w:storeItemID="{81961AFE-0FF6-4063-9DD3-1D50F4EAA675}"/>
                <w:text w:multiLine="1"/>
              </w:sdtPr>
              <w:sdtEndPr>
                <w:rPr>
                  <w:color w:val="FFFFFF" w:themeColor="background1"/>
                </w:rPr>
              </w:sdtEndPr>
              <w:sdtContent>
                <w:r w:rsidR="003573B1" w:rsidRPr="0052042F">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14:paraId="39667EA0" w14:textId="77777777" w:rsidR="003A2FD6" w:rsidRPr="00C37FE1" w:rsidRDefault="003573B1" w:rsidP="00062DDE">
                <w:r w:rsidRPr="0052042F">
                  <w:rPr>
                    <w:rStyle w:val="PlaceholderText"/>
                    <w:rFonts w:eastAsiaTheme="minorHAnsi"/>
                    <w:color w:val="FFFFFF" w:themeColor="background1"/>
                  </w:rPr>
                  <w:t>[Ondertekenaar 4]</w:t>
                </w:r>
              </w:p>
            </w:tc>
          </w:sdtContent>
        </w:sdt>
      </w:tr>
    </w:tbl>
    <w:p w14:paraId="2F0CD743" w14:textId="77777777" w:rsidR="005621ED" w:rsidRPr="00132F64" w:rsidRDefault="005621ED" w:rsidP="003B6109">
      <w:pPr>
        <w:spacing w:after="160" w:line="259" w:lineRule="auto"/>
      </w:pPr>
    </w:p>
    <w:sectPr w:rsidR="005621ED" w:rsidRPr="00132F64" w:rsidSect="00042676">
      <w:headerReference w:type="default" r:id="rId11"/>
      <w:headerReference w:type="first" r:id="rId12"/>
      <w:pgSz w:w="11906" w:h="16838" w:code="9"/>
      <w:pgMar w:top="2398" w:right="2818" w:bottom="1077" w:left="1559" w:header="2398" w:footer="561" w:gutter="0"/>
      <w:paperSrc w:first="4"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6BFB" w14:textId="77777777" w:rsidR="006A7DA7" w:rsidRDefault="006A7DA7" w:rsidP="004F2CD5">
      <w:pPr>
        <w:spacing w:line="240" w:lineRule="auto"/>
      </w:pPr>
      <w:r>
        <w:separator/>
      </w:r>
    </w:p>
  </w:endnote>
  <w:endnote w:type="continuationSeparator" w:id="0">
    <w:p w14:paraId="2B9C5C64" w14:textId="77777777" w:rsidR="006A7DA7" w:rsidRDefault="006A7DA7" w:rsidP="004F2CD5">
      <w:pPr>
        <w:spacing w:line="240" w:lineRule="auto"/>
      </w:pPr>
      <w:r>
        <w:continuationSeparator/>
      </w:r>
    </w:p>
  </w:endnote>
  <w:endnote w:type="continuationNotice" w:id="1">
    <w:p w14:paraId="67A43D4A" w14:textId="77777777" w:rsidR="006A7DA7" w:rsidRDefault="006A7D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B4F7" w14:textId="77777777" w:rsidR="006A7DA7" w:rsidRDefault="006A7DA7" w:rsidP="004F2CD5">
      <w:pPr>
        <w:spacing w:line="240" w:lineRule="auto"/>
      </w:pPr>
      <w:r>
        <w:separator/>
      </w:r>
    </w:p>
  </w:footnote>
  <w:footnote w:type="continuationSeparator" w:id="0">
    <w:p w14:paraId="2431275D" w14:textId="77777777" w:rsidR="006A7DA7" w:rsidRDefault="006A7DA7" w:rsidP="004F2CD5">
      <w:pPr>
        <w:spacing w:line="240" w:lineRule="auto"/>
      </w:pPr>
      <w:r>
        <w:continuationSeparator/>
      </w:r>
    </w:p>
  </w:footnote>
  <w:footnote w:type="continuationNotice" w:id="1">
    <w:p w14:paraId="381052B7" w14:textId="77777777" w:rsidR="006A7DA7" w:rsidRDefault="006A7DA7">
      <w:pPr>
        <w:spacing w:line="240" w:lineRule="auto"/>
      </w:pPr>
    </w:p>
  </w:footnote>
  <w:footnote w:id="2">
    <w:p w14:paraId="1C69AE79" w14:textId="3D0FF30E" w:rsidR="006A7DA7" w:rsidRPr="009101FF" w:rsidRDefault="006A7DA7" w:rsidP="008C0681">
      <w:pPr>
        <w:pStyle w:val="FootnoteText"/>
      </w:pPr>
      <w:r>
        <w:rPr>
          <w:rStyle w:val="FootnoteReference"/>
        </w:rPr>
        <w:footnoteRef/>
      </w:r>
      <w:r w:rsidRPr="009101FF">
        <w:t xml:space="preserve"> Zie </w:t>
      </w:r>
      <w:hyperlink r:id="rId1" w:history="1">
        <w:r w:rsidRPr="00E6058F">
          <w:rPr>
            <w:rStyle w:val="Hyperlink"/>
          </w:rPr>
          <w:t>https://data.consilium.europa.eu/doc/document/ST-9175-2021-INIT/en/pdf</w:t>
        </w:r>
      </w:hyperlink>
      <w:r>
        <w:t xml:space="preserve">. </w:t>
      </w:r>
    </w:p>
  </w:footnote>
  <w:footnote w:id="3">
    <w:p w14:paraId="1D570E82" w14:textId="27EC2638" w:rsidR="006A7DA7" w:rsidRPr="00313F62" w:rsidRDefault="006A7DA7" w:rsidP="008C0681">
      <w:pPr>
        <w:pStyle w:val="FootnoteText"/>
      </w:pPr>
      <w:r>
        <w:rPr>
          <w:rStyle w:val="FootnoteReference"/>
        </w:rPr>
        <w:footnoteRef/>
      </w:r>
      <w:r>
        <w:t xml:space="preserve"> Zie voor het wetsvoorstel van de Commissie: </w:t>
      </w:r>
      <w:hyperlink r:id="rId2" w:history="1">
        <w:r w:rsidRPr="00E6058F">
          <w:rPr>
            <w:rStyle w:val="Hyperlink"/>
          </w:rPr>
          <w:t>https://eur-lex.europa.eu/legal-content/NL/TXT/HTML/?uri=CELEX:52016PC0034&amp;from=EN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6A7DA7" w:rsidRDefault="006A7DA7"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95A77" w14:textId="77777777" w:rsidR="006A7DA7" w:rsidRPr="006B0BAF" w:rsidRDefault="006A7DA7"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edf4a857-f8d7-4424-bfe9-5373be5feed5' " w:xpath="/ns0:properties[1]/documentManagement[1]/ns3:_dlc_DocId[1]" w:storeItemID="{81961AFE-0FF6-4063-9DD3-1D50F4EAA675}"/>
                            <w:text/>
                          </w:sdtPr>
                          <w:sdtEndPr/>
                          <w:sdtContent>
                            <w:p w14:paraId="46F085EF" w14:textId="0A7379BF" w:rsidR="006A7DA7" w:rsidRPr="006B0BAF" w:rsidRDefault="006A7DA7" w:rsidP="00387071">
                              <w:pPr>
                                <w:rPr>
                                  <w:sz w:val="13"/>
                                  <w:szCs w:val="13"/>
                                </w:rPr>
                              </w:pPr>
                              <w:r>
                                <w:rPr>
                                  <w:sz w:val="13"/>
                                  <w:szCs w:val="13"/>
                                </w:rPr>
                                <w:t>BZDOC-178186983-80</w:t>
                              </w:r>
                            </w:p>
                          </w:sdtContent>
                        </w:sdt>
                        <w:p w14:paraId="144F0196" w14:textId="77777777" w:rsidR="006A7DA7" w:rsidRPr="005D7A68" w:rsidRDefault="006A7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68595A77" w14:textId="77777777" w:rsidR="006A7DA7" w:rsidRPr="006B0BAF" w:rsidRDefault="006A7DA7"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edf4a857-f8d7-4424-bfe9-5373be5feed5' " w:xpath="/ns0:properties[1]/documentManagement[1]/ns3:_dlc_DocId[1]" w:storeItemID="{81961AFE-0FF6-4063-9DD3-1D50F4EAA675}"/>
                      <w:text/>
                    </w:sdtPr>
                    <w:sdtEndPr/>
                    <w:sdtContent>
                      <w:p w14:paraId="46F085EF" w14:textId="0A7379BF" w:rsidR="006A7DA7" w:rsidRPr="006B0BAF" w:rsidRDefault="006A7DA7" w:rsidP="00387071">
                        <w:pPr>
                          <w:rPr>
                            <w:sz w:val="13"/>
                            <w:szCs w:val="13"/>
                          </w:rPr>
                        </w:pPr>
                        <w:r>
                          <w:rPr>
                            <w:sz w:val="13"/>
                            <w:szCs w:val="13"/>
                          </w:rPr>
                          <w:t>BZDOC-178186983-80</w:t>
                        </w:r>
                      </w:p>
                    </w:sdtContent>
                  </w:sdt>
                  <w:p w14:paraId="144F0196" w14:textId="77777777" w:rsidR="006A7DA7" w:rsidRPr="005D7A68" w:rsidRDefault="006A7DA7"/>
                </w:txbxContent>
              </v:textbox>
              <w10:wrap anchory="page"/>
            </v:shape>
          </w:pict>
        </mc:Fallback>
      </mc:AlternateContent>
    </w:r>
    <w:r>
      <w:tab/>
    </w:r>
  </w:p>
  <w:p w14:paraId="693F1BEB" w14:textId="77777777" w:rsidR="006A7DA7" w:rsidRDefault="006A7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6A7DA7" w:rsidRDefault="006A7DA7">
    <w:pPr>
      <w:pStyle w:val="Header"/>
    </w:pPr>
  </w:p>
  <w:p w14:paraId="6308DCE5" w14:textId="77777777" w:rsidR="006A7DA7" w:rsidRDefault="006A7DA7">
    <w:pPr>
      <w:pStyle w:val="Header"/>
    </w:pPr>
  </w:p>
  <w:p w14:paraId="660F25CA" w14:textId="77777777" w:rsidR="006A7DA7" w:rsidRDefault="006A7DA7">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A24B7" w14:textId="77777777" w:rsidR="006D428F" w:rsidRDefault="006D428F" w:rsidP="00596AD0">
                          <w:pPr>
                            <w:pStyle w:val="Header"/>
                          </w:pPr>
                          <w:r>
                            <w:t xml:space="preserve">Aan de Voorzitter van de </w:t>
                          </w:r>
                        </w:p>
                        <w:p w14:paraId="328B5005" w14:textId="77777777" w:rsidR="006D428F" w:rsidRDefault="006D428F" w:rsidP="00596AD0">
                          <w:pPr>
                            <w:pStyle w:val="Header"/>
                          </w:pPr>
                          <w:r>
                            <w:t>Tweede Kamer der Staten-Generaal</w:t>
                          </w:r>
                        </w:p>
                        <w:p w14:paraId="649D63DD" w14:textId="77777777" w:rsidR="006D428F" w:rsidRDefault="006D428F" w:rsidP="00596AD0">
                          <w:pPr>
                            <w:pStyle w:val="Header"/>
                          </w:pPr>
                          <w:r>
                            <w:t>Binnenhof 4</w:t>
                          </w:r>
                        </w:p>
                        <w:p w14:paraId="353554B7" w14:textId="2CF8847A" w:rsidR="006A7DA7" w:rsidRDefault="006D428F" w:rsidP="00596AD0">
                          <w:pPr>
                            <w:pStyle w:val="Header"/>
                          </w:pPr>
                          <w:r>
                            <w:t xml:space="preserve">Den Haag </w:t>
                          </w:r>
                        </w:p>
                        <w:p w14:paraId="59FFB5F0" w14:textId="5AB8D0E7" w:rsidR="006A7DA7" w:rsidRPr="00CF7C5C" w:rsidRDefault="006A7DA7"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p w14:paraId="31FA24B7" w14:textId="77777777" w:rsidR="006D428F" w:rsidRDefault="006D428F" w:rsidP="00596AD0">
                    <w:pPr>
                      <w:pStyle w:val="Header"/>
                    </w:pPr>
                    <w:r>
                      <w:t xml:space="preserve">Aan de Voorzitter van de </w:t>
                    </w:r>
                  </w:p>
                  <w:p w14:paraId="328B5005" w14:textId="77777777" w:rsidR="006D428F" w:rsidRDefault="006D428F" w:rsidP="00596AD0">
                    <w:pPr>
                      <w:pStyle w:val="Header"/>
                    </w:pPr>
                    <w:r>
                      <w:t>Tweede Kamer der Staten-Generaal</w:t>
                    </w:r>
                  </w:p>
                  <w:p w14:paraId="649D63DD" w14:textId="77777777" w:rsidR="006D428F" w:rsidRDefault="006D428F" w:rsidP="00596AD0">
                    <w:pPr>
                      <w:pStyle w:val="Header"/>
                    </w:pPr>
                    <w:r>
                      <w:t>Binnenhof 4</w:t>
                    </w:r>
                  </w:p>
                  <w:p w14:paraId="353554B7" w14:textId="2CF8847A" w:rsidR="006A7DA7" w:rsidRDefault="006D428F" w:rsidP="00596AD0">
                    <w:pPr>
                      <w:pStyle w:val="Header"/>
                    </w:pPr>
                    <w:r>
                      <w:t xml:space="preserve">Den Haag </w:t>
                    </w:r>
                  </w:p>
                  <w:p w14:paraId="59FFB5F0" w14:textId="5AB8D0E7" w:rsidR="006A7DA7" w:rsidRPr="00CF7C5C" w:rsidRDefault="006A7DA7" w:rsidP="00421A31"/>
                </w:txbxContent>
              </v:textbox>
              <w10:wrap anchorx="margin" anchory="page"/>
            </v:shape>
          </w:pict>
        </mc:Fallback>
      </mc:AlternateContent>
    </w:r>
  </w:p>
  <w:p w14:paraId="6E29A619" w14:textId="77777777" w:rsidR="006A7DA7" w:rsidRDefault="006A7DA7">
    <w:pPr>
      <w:pStyle w:val="Header"/>
    </w:pPr>
  </w:p>
  <w:p w14:paraId="4ED6069D" w14:textId="77777777" w:rsidR="006A7DA7" w:rsidRDefault="006A7DA7">
    <w:pPr>
      <w:pStyle w:val="Header"/>
    </w:pPr>
  </w:p>
  <w:p w14:paraId="03C8A6DB" w14:textId="77777777" w:rsidR="006A7DA7" w:rsidRDefault="006A7DA7">
    <w:pPr>
      <w:pStyle w:val="Header"/>
    </w:pPr>
  </w:p>
  <w:p w14:paraId="43B5CFAA" w14:textId="77777777" w:rsidR="006A7DA7" w:rsidRDefault="006A7DA7">
    <w:pPr>
      <w:pStyle w:val="Header"/>
    </w:pPr>
  </w:p>
  <w:p w14:paraId="30EC77C3" w14:textId="77777777" w:rsidR="006A7DA7" w:rsidRDefault="006A7DA7">
    <w:pPr>
      <w:pStyle w:val="Header"/>
    </w:pPr>
  </w:p>
  <w:p w14:paraId="7ABB46DB" w14:textId="77777777" w:rsidR="006A7DA7" w:rsidRDefault="006A7DA7">
    <w:pPr>
      <w:pStyle w:val="Header"/>
    </w:pPr>
  </w:p>
  <w:p w14:paraId="7D9A49A6" w14:textId="77777777" w:rsidR="006A7DA7" w:rsidRDefault="006A7DA7">
    <w:pPr>
      <w:pStyle w:val="Header"/>
    </w:pPr>
  </w:p>
  <w:p w14:paraId="23085C85" w14:textId="77777777" w:rsidR="006A7DA7" w:rsidRDefault="006A7DA7">
    <w:pPr>
      <w:pStyle w:val="Header"/>
    </w:pPr>
  </w:p>
  <w:p w14:paraId="12D20D7F" w14:textId="77777777" w:rsidR="006A7DA7" w:rsidRDefault="006A7DA7">
    <w:pPr>
      <w:pStyle w:val="Header"/>
    </w:pPr>
  </w:p>
  <w:p w14:paraId="1F5C76F0" w14:textId="77777777" w:rsidR="006A7DA7" w:rsidRDefault="006A7DA7">
    <w:pPr>
      <w:pStyle w:val="Header"/>
    </w:pPr>
  </w:p>
  <w:p w14:paraId="394B98B3" w14:textId="77777777" w:rsidR="006A7DA7" w:rsidRDefault="006A7DA7">
    <w:pPr>
      <w:pStyle w:val="Header"/>
    </w:pPr>
  </w:p>
  <w:p w14:paraId="242DD7C2" w14:textId="77777777" w:rsidR="006A7DA7" w:rsidRDefault="006A7DA7">
    <w:pPr>
      <w:pStyle w:val="Header"/>
    </w:pPr>
  </w:p>
  <w:p w14:paraId="0DBAE0F5" w14:textId="77777777" w:rsidR="006A7DA7" w:rsidRDefault="006A7DA7">
    <w:pPr>
      <w:pStyle w:val="Header"/>
    </w:pPr>
  </w:p>
  <w:p w14:paraId="5554C250" w14:textId="77777777" w:rsidR="006A7DA7" w:rsidRDefault="006A7DA7">
    <w:pPr>
      <w:pStyle w:val="Header"/>
    </w:pPr>
  </w:p>
  <w:p w14:paraId="2FAF5074" w14:textId="77777777" w:rsidR="006A7DA7" w:rsidRDefault="006A7DA7">
    <w:pPr>
      <w:pStyle w:val="Header"/>
    </w:pPr>
  </w:p>
  <w:p w14:paraId="73AE405D" w14:textId="77777777" w:rsidR="006A7DA7" w:rsidRDefault="006A7DA7">
    <w:pPr>
      <w:pStyle w:val="Header"/>
    </w:pPr>
  </w:p>
  <w:p w14:paraId="7EE821E6" w14:textId="77777777" w:rsidR="006A7DA7" w:rsidRDefault="006A7DA7">
    <w:pPr>
      <w:pStyle w:val="Header"/>
    </w:pPr>
  </w:p>
  <w:p w14:paraId="2A6966F9" w14:textId="77777777" w:rsidR="006A7DA7" w:rsidRDefault="006A7DA7">
    <w:pPr>
      <w:pStyle w:val="Header"/>
    </w:pPr>
  </w:p>
  <w:p w14:paraId="28A02005" w14:textId="77777777" w:rsidR="006A7DA7" w:rsidRDefault="006A7DA7">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57B2158F" w:rsidR="006A7DA7" w:rsidRPr="00F51C07" w:rsidRDefault="00042676">
                          <w:r>
                            <w:t xml:space="preserve">Datum  6 juli </w:t>
                          </w:r>
                          <w:r w:rsidR="006A7DA7">
                            <w:t>2021</w:t>
                          </w:r>
                        </w:p>
                        <w:p w14:paraId="06BD080E" w14:textId="61649649" w:rsidR="006A7DA7" w:rsidRPr="00F51C07" w:rsidRDefault="006A7DA7">
                          <w:r w:rsidRPr="00E20D12">
                            <w:t xml:space="preserve">Betreft </w:t>
                          </w:r>
                          <w:r>
                            <w:t>A</w:t>
                          </w:r>
                          <w:r w:rsidRPr="008C0681">
                            <w:t xml:space="preserve">ppreciatie </w:t>
                          </w:r>
                          <w:r>
                            <w:t>R</w:t>
                          </w:r>
                          <w:r w:rsidRPr="008C0681">
                            <w:t>aadspositie Internation</w:t>
                          </w:r>
                          <w:r>
                            <w:t>a</w:t>
                          </w:r>
                          <w:r w:rsidRPr="008C0681">
                            <w:t xml:space="preserve">al </w:t>
                          </w:r>
                          <w:r>
                            <w:t>Aanbestedingsinstrument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57B2158F" w:rsidR="006A7DA7" w:rsidRPr="00F51C07" w:rsidRDefault="00042676">
                    <w:r>
                      <w:t xml:space="preserve">Datum  6 juli </w:t>
                    </w:r>
                    <w:r w:rsidR="006A7DA7">
                      <w:t>2021</w:t>
                    </w:r>
                  </w:p>
                  <w:p w14:paraId="06BD080E" w14:textId="61649649" w:rsidR="006A7DA7" w:rsidRPr="00F51C07" w:rsidRDefault="006A7DA7">
                    <w:r w:rsidRPr="00E20D12">
                      <w:t xml:space="preserve">Betreft </w:t>
                    </w:r>
                    <w:r>
                      <w:t>A</w:t>
                    </w:r>
                    <w:r w:rsidRPr="008C0681">
                      <w:t xml:space="preserve">ppreciatie </w:t>
                    </w:r>
                    <w:r>
                      <w:t>R</w:t>
                    </w:r>
                    <w:r w:rsidRPr="008C0681">
                      <w:t>aadspositie Internation</w:t>
                    </w:r>
                    <w:r>
                      <w:t>a</w:t>
                    </w:r>
                    <w:r w:rsidRPr="008C0681">
                      <w:t xml:space="preserve">al </w:t>
                    </w:r>
                    <w:r>
                      <w:t>Aanbestedingsinstrument</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6A7DA7" w14:paraId="35B35920" w14:textId="77777777">
                            <w:trPr>
                              <w:trHeight w:val="2636"/>
                            </w:trPr>
                            <w:tc>
                              <w:tcPr>
                                <w:tcW w:w="737" w:type="dxa"/>
                                <w:shd w:val="clear" w:color="auto" w:fill="auto"/>
                              </w:tcPr>
                              <w:p w14:paraId="70D3645D" w14:textId="77777777" w:rsidR="006A7DA7" w:rsidRDefault="006A7DA7" w:rsidP="00221464">
                                <w:pPr>
                                  <w:spacing w:line="240" w:lineRule="auto"/>
                                </w:pPr>
                              </w:p>
                            </w:tc>
                            <w:tc>
                              <w:tcPr>
                                <w:tcW w:w="5263" w:type="dxa"/>
                                <w:shd w:val="clear" w:color="auto" w:fill="auto"/>
                              </w:tcPr>
                              <w:p w14:paraId="78BE403D" w14:textId="77777777" w:rsidR="006A7DA7" w:rsidRDefault="006A7DA7"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6A7DA7" w:rsidRDefault="006A7DA7"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6A7DA7" w14:paraId="35B35920" w14:textId="77777777">
                      <w:trPr>
                        <w:trHeight w:val="2636"/>
                      </w:trPr>
                      <w:tc>
                        <w:tcPr>
                          <w:tcW w:w="737" w:type="dxa"/>
                          <w:shd w:val="clear" w:color="auto" w:fill="auto"/>
                        </w:tcPr>
                        <w:p w14:paraId="70D3645D" w14:textId="77777777" w:rsidR="006A7DA7" w:rsidRDefault="006A7DA7" w:rsidP="00221464">
                          <w:pPr>
                            <w:spacing w:line="240" w:lineRule="auto"/>
                          </w:pPr>
                        </w:p>
                      </w:tc>
                      <w:tc>
                        <w:tcPr>
                          <w:tcW w:w="5263" w:type="dxa"/>
                          <w:shd w:val="clear" w:color="auto" w:fill="auto"/>
                        </w:tcPr>
                        <w:p w14:paraId="78BE403D" w14:textId="77777777" w:rsidR="006A7DA7" w:rsidRDefault="006A7DA7"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6A7DA7" w:rsidRDefault="006A7DA7"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8C87A" w14:textId="77777777" w:rsidR="006A7DA7" w:rsidRPr="00EE5E5D" w:rsidRDefault="006A7DA7" w:rsidP="00EE5E5D">
                          <w:pPr>
                            <w:rPr>
                              <w:sz w:val="13"/>
                              <w:szCs w:val="13"/>
                            </w:rPr>
                          </w:pPr>
                          <w:r>
                            <w:rPr>
                              <w:sz w:val="13"/>
                              <w:szCs w:val="13"/>
                            </w:rPr>
                            <w:t>Rijnstraat 8</w:t>
                          </w:r>
                        </w:p>
                        <w:p w14:paraId="410FCE81" w14:textId="77777777" w:rsidR="006A7DA7" w:rsidRDefault="006A7DA7" w:rsidP="00EE5E5D">
                          <w:pPr>
                            <w:rPr>
                              <w:sz w:val="13"/>
                              <w:szCs w:val="13"/>
                            </w:rPr>
                          </w:pPr>
                          <w:r w:rsidRPr="00D263F9">
                            <w:rPr>
                              <w:sz w:val="13"/>
                              <w:szCs w:val="13"/>
                            </w:rPr>
                            <w:t xml:space="preserve">2515 XP Den Haag </w:t>
                          </w:r>
                        </w:p>
                        <w:p w14:paraId="16721111" w14:textId="77777777" w:rsidR="006A7DA7" w:rsidRPr="00EE5E5D" w:rsidRDefault="006A7DA7" w:rsidP="00EE5E5D">
                          <w:pPr>
                            <w:rPr>
                              <w:sz w:val="13"/>
                              <w:szCs w:val="13"/>
                            </w:rPr>
                          </w:pPr>
                          <w:r w:rsidRPr="00EE5E5D">
                            <w:rPr>
                              <w:sz w:val="13"/>
                              <w:szCs w:val="13"/>
                            </w:rPr>
                            <w:t>Postbus 20061</w:t>
                          </w:r>
                        </w:p>
                        <w:p w14:paraId="310589BA" w14:textId="77777777" w:rsidR="006A7DA7" w:rsidRPr="006B0BAF" w:rsidRDefault="006A7DA7" w:rsidP="00EE5E5D">
                          <w:pPr>
                            <w:rPr>
                              <w:sz w:val="13"/>
                              <w:szCs w:val="13"/>
                            </w:rPr>
                          </w:pPr>
                          <w:r w:rsidRPr="006B0BAF">
                            <w:rPr>
                              <w:sz w:val="13"/>
                              <w:szCs w:val="13"/>
                            </w:rPr>
                            <w:t>Nederland</w:t>
                          </w:r>
                        </w:p>
                        <w:p w14:paraId="3C816229" w14:textId="77777777" w:rsidR="006A7DA7" w:rsidRPr="006B0BAF" w:rsidRDefault="006A7DA7" w:rsidP="00EE5E5D">
                          <w:pPr>
                            <w:rPr>
                              <w:sz w:val="13"/>
                              <w:szCs w:val="13"/>
                            </w:rPr>
                          </w:pPr>
                          <w:r w:rsidRPr="006B0BAF">
                            <w:rPr>
                              <w:sz w:val="13"/>
                              <w:szCs w:val="13"/>
                            </w:rPr>
                            <w:t>www.rijksoverheid.nl</w:t>
                          </w:r>
                        </w:p>
                        <w:p w14:paraId="4A9FA492" w14:textId="77777777" w:rsidR="006A7DA7" w:rsidRPr="006B0BAF" w:rsidRDefault="006A7DA7" w:rsidP="00EE5E5D">
                          <w:pPr>
                            <w:rPr>
                              <w:sz w:val="13"/>
                              <w:szCs w:val="13"/>
                            </w:rPr>
                          </w:pPr>
                        </w:p>
                        <w:p w14:paraId="69796188" w14:textId="77777777" w:rsidR="006A7DA7" w:rsidRPr="006B0BAF" w:rsidRDefault="006A7DA7" w:rsidP="00EE5E5D">
                          <w:pPr>
                            <w:rPr>
                              <w:sz w:val="13"/>
                              <w:szCs w:val="13"/>
                            </w:rPr>
                          </w:pPr>
                        </w:p>
                        <w:p w14:paraId="709F9F35" w14:textId="56EE7FDF" w:rsidR="006A7DA7" w:rsidRPr="006B0BAF" w:rsidRDefault="006A7DA7"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edf4a857-f8d7-4424-bfe9-5373be5feed5' xmlns:ns4='a968f643-972d-4667-9c7d-fd76f2567ee3' " w:xpath="/ns0:properties[1]/documentManagement[1]/ns3:_dlc_DocId[1]" w:storeItemID="{81961AFE-0FF6-4063-9DD3-1D50F4EAA675}"/>
                              <w:text/>
                            </w:sdtPr>
                            <w:sdtEndPr/>
                            <w:sdtContent>
                              <w:r>
                                <w:rPr>
                                  <w:sz w:val="13"/>
                                  <w:szCs w:val="13"/>
                                </w:rPr>
                                <w:t>BZDOC-178186983-80</w:t>
                              </w:r>
                            </w:sdtContent>
                          </w:sdt>
                        </w:p>
                        <w:p w14:paraId="36AB974F" w14:textId="77777777" w:rsidR="006A7DA7" w:rsidRDefault="006A7DA7" w:rsidP="00EE5E5D">
                          <w:pPr>
                            <w:rPr>
                              <w:b/>
                              <w:sz w:val="13"/>
                              <w:szCs w:val="13"/>
                            </w:rPr>
                          </w:pPr>
                        </w:p>
                        <w:p w14:paraId="6FD890A1" w14:textId="77777777" w:rsidR="006A7DA7" w:rsidRDefault="006A7DA7" w:rsidP="00EE5E5D">
                          <w:pPr>
                            <w:rPr>
                              <w:b/>
                              <w:sz w:val="13"/>
                              <w:szCs w:val="13"/>
                            </w:rPr>
                          </w:pPr>
                          <w:r w:rsidRPr="0058359E">
                            <w:rPr>
                              <w:b/>
                              <w:sz w:val="13"/>
                              <w:szCs w:val="13"/>
                            </w:rPr>
                            <w:t>Bijlage(n)</w:t>
                          </w:r>
                        </w:p>
                        <w:p w14:paraId="62317602" w14:textId="6C128B56" w:rsidR="006A7DA7" w:rsidRPr="0058359E" w:rsidRDefault="006A7DA7"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3858C87A" w14:textId="77777777" w:rsidR="006A7DA7" w:rsidRPr="00EE5E5D" w:rsidRDefault="006A7DA7" w:rsidP="00EE5E5D">
                    <w:pPr>
                      <w:rPr>
                        <w:sz w:val="13"/>
                        <w:szCs w:val="13"/>
                      </w:rPr>
                    </w:pPr>
                    <w:r>
                      <w:rPr>
                        <w:sz w:val="13"/>
                        <w:szCs w:val="13"/>
                      </w:rPr>
                      <w:t>Rijnstraat 8</w:t>
                    </w:r>
                  </w:p>
                  <w:p w14:paraId="410FCE81" w14:textId="77777777" w:rsidR="006A7DA7" w:rsidRDefault="006A7DA7" w:rsidP="00EE5E5D">
                    <w:pPr>
                      <w:rPr>
                        <w:sz w:val="13"/>
                        <w:szCs w:val="13"/>
                      </w:rPr>
                    </w:pPr>
                    <w:r w:rsidRPr="00D263F9">
                      <w:rPr>
                        <w:sz w:val="13"/>
                        <w:szCs w:val="13"/>
                      </w:rPr>
                      <w:t xml:space="preserve">2515 XP Den Haag </w:t>
                    </w:r>
                  </w:p>
                  <w:p w14:paraId="16721111" w14:textId="77777777" w:rsidR="006A7DA7" w:rsidRPr="00EE5E5D" w:rsidRDefault="006A7DA7" w:rsidP="00EE5E5D">
                    <w:pPr>
                      <w:rPr>
                        <w:sz w:val="13"/>
                        <w:szCs w:val="13"/>
                      </w:rPr>
                    </w:pPr>
                    <w:r w:rsidRPr="00EE5E5D">
                      <w:rPr>
                        <w:sz w:val="13"/>
                        <w:szCs w:val="13"/>
                      </w:rPr>
                      <w:t>Postbus 20061</w:t>
                    </w:r>
                  </w:p>
                  <w:p w14:paraId="310589BA" w14:textId="77777777" w:rsidR="006A7DA7" w:rsidRPr="006B0BAF" w:rsidRDefault="006A7DA7" w:rsidP="00EE5E5D">
                    <w:pPr>
                      <w:rPr>
                        <w:sz w:val="13"/>
                        <w:szCs w:val="13"/>
                      </w:rPr>
                    </w:pPr>
                    <w:r w:rsidRPr="006B0BAF">
                      <w:rPr>
                        <w:sz w:val="13"/>
                        <w:szCs w:val="13"/>
                      </w:rPr>
                      <w:t>Nederland</w:t>
                    </w:r>
                  </w:p>
                  <w:p w14:paraId="3C816229" w14:textId="77777777" w:rsidR="006A7DA7" w:rsidRPr="006B0BAF" w:rsidRDefault="006A7DA7" w:rsidP="00EE5E5D">
                    <w:pPr>
                      <w:rPr>
                        <w:sz w:val="13"/>
                        <w:szCs w:val="13"/>
                      </w:rPr>
                    </w:pPr>
                    <w:r w:rsidRPr="006B0BAF">
                      <w:rPr>
                        <w:sz w:val="13"/>
                        <w:szCs w:val="13"/>
                      </w:rPr>
                      <w:t>www.rijksoverheid.nl</w:t>
                    </w:r>
                  </w:p>
                  <w:p w14:paraId="4A9FA492" w14:textId="77777777" w:rsidR="006A7DA7" w:rsidRPr="006B0BAF" w:rsidRDefault="006A7DA7" w:rsidP="00EE5E5D">
                    <w:pPr>
                      <w:rPr>
                        <w:sz w:val="13"/>
                        <w:szCs w:val="13"/>
                      </w:rPr>
                    </w:pPr>
                  </w:p>
                  <w:p w14:paraId="69796188" w14:textId="77777777" w:rsidR="006A7DA7" w:rsidRPr="006B0BAF" w:rsidRDefault="006A7DA7" w:rsidP="00EE5E5D">
                    <w:pPr>
                      <w:rPr>
                        <w:sz w:val="13"/>
                        <w:szCs w:val="13"/>
                      </w:rPr>
                    </w:pPr>
                  </w:p>
                  <w:p w14:paraId="709F9F35" w14:textId="56EE7FDF" w:rsidR="006A7DA7" w:rsidRPr="006B0BAF" w:rsidRDefault="006A7DA7"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edf4a857-f8d7-4424-bfe9-5373be5feed5' xmlns:ns4='a968f643-972d-4667-9c7d-fd76f2567ee3' " w:xpath="/ns0:properties[1]/documentManagement[1]/ns3:_dlc_DocId[1]" w:storeItemID="{81961AFE-0FF6-4063-9DD3-1D50F4EAA675}"/>
                        <w:text/>
                      </w:sdtPr>
                      <w:sdtEndPr/>
                      <w:sdtContent>
                        <w:r>
                          <w:rPr>
                            <w:sz w:val="13"/>
                            <w:szCs w:val="13"/>
                          </w:rPr>
                          <w:t>BZDOC-178186983-80</w:t>
                        </w:r>
                      </w:sdtContent>
                    </w:sdt>
                  </w:p>
                  <w:p w14:paraId="36AB974F" w14:textId="77777777" w:rsidR="006A7DA7" w:rsidRDefault="006A7DA7" w:rsidP="00EE5E5D">
                    <w:pPr>
                      <w:rPr>
                        <w:b/>
                        <w:sz w:val="13"/>
                        <w:szCs w:val="13"/>
                      </w:rPr>
                    </w:pPr>
                  </w:p>
                  <w:p w14:paraId="6FD890A1" w14:textId="77777777" w:rsidR="006A7DA7" w:rsidRDefault="006A7DA7" w:rsidP="00EE5E5D">
                    <w:pPr>
                      <w:rPr>
                        <w:b/>
                        <w:sz w:val="13"/>
                        <w:szCs w:val="13"/>
                      </w:rPr>
                    </w:pPr>
                    <w:r w:rsidRPr="0058359E">
                      <w:rPr>
                        <w:b/>
                        <w:sz w:val="13"/>
                        <w:szCs w:val="13"/>
                      </w:rPr>
                      <w:t>Bijlage(n)</w:t>
                    </w:r>
                  </w:p>
                  <w:p w14:paraId="62317602" w14:textId="6C128B56" w:rsidR="006A7DA7" w:rsidRPr="0058359E" w:rsidRDefault="006A7DA7"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33902"/>
    <w:rsid w:val="00042676"/>
    <w:rsid w:val="00062DDE"/>
    <w:rsid w:val="00063F56"/>
    <w:rsid w:val="000701F1"/>
    <w:rsid w:val="0007464A"/>
    <w:rsid w:val="000C05AC"/>
    <w:rsid w:val="000C3E39"/>
    <w:rsid w:val="000D6C7A"/>
    <w:rsid w:val="000E6281"/>
    <w:rsid w:val="000F56CA"/>
    <w:rsid w:val="00130AB1"/>
    <w:rsid w:val="00132F64"/>
    <w:rsid w:val="001361B2"/>
    <w:rsid w:val="001428B6"/>
    <w:rsid w:val="00161332"/>
    <w:rsid w:val="001A60F3"/>
    <w:rsid w:val="001B5575"/>
    <w:rsid w:val="001D4B80"/>
    <w:rsid w:val="001E4AF3"/>
    <w:rsid w:val="001F626B"/>
    <w:rsid w:val="00202425"/>
    <w:rsid w:val="00204893"/>
    <w:rsid w:val="00205368"/>
    <w:rsid w:val="00206624"/>
    <w:rsid w:val="00221464"/>
    <w:rsid w:val="00223B8D"/>
    <w:rsid w:val="002513E1"/>
    <w:rsid w:val="00274149"/>
    <w:rsid w:val="002B2C0A"/>
    <w:rsid w:val="002F508B"/>
    <w:rsid w:val="00310314"/>
    <w:rsid w:val="003107AE"/>
    <w:rsid w:val="003173CD"/>
    <w:rsid w:val="003573B1"/>
    <w:rsid w:val="00360A38"/>
    <w:rsid w:val="00387071"/>
    <w:rsid w:val="00392593"/>
    <w:rsid w:val="003A2FD6"/>
    <w:rsid w:val="003B6109"/>
    <w:rsid w:val="003C0D64"/>
    <w:rsid w:val="003D0FF6"/>
    <w:rsid w:val="003F4182"/>
    <w:rsid w:val="00400FA2"/>
    <w:rsid w:val="00410007"/>
    <w:rsid w:val="00415C7A"/>
    <w:rsid w:val="00421A31"/>
    <w:rsid w:val="004305C5"/>
    <w:rsid w:val="00472954"/>
    <w:rsid w:val="00492A07"/>
    <w:rsid w:val="00493039"/>
    <w:rsid w:val="004A0D68"/>
    <w:rsid w:val="004A4D41"/>
    <w:rsid w:val="004B169E"/>
    <w:rsid w:val="004F2CD5"/>
    <w:rsid w:val="004F420B"/>
    <w:rsid w:val="004F6A30"/>
    <w:rsid w:val="005157DA"/>
    <w:rsid w:val="0052042F"/>
    <w:rsid w:val="005239C8"/>
    <w:rsid w:val="00534ACB"/>
    <w:rsid w:val="00543C52"/>
    <w:rsid w:val="00561A0F"/>
    <w:rsid w:val="005621ED"/>
    <w:rsid w:val="0058359E"/>
    <w:rsid w:val="0059291A"/>
    <w:rsid w:val="00593A05"/>
    <w:rsid w:val="00596AD0"/>
    <w:rsid w:val="005970D9"/>
    <w:rsid w:val="005C4FDE"/>
    <w:rsid w:val="005D3111"/>
    <w:rsid w:val="005D7A68"/>
    <w:rsid w:val="005E1186"/>
    <w:rsid w:val="005F0933"/>
    <w:rsid w:val="00600C30"/>
    <w:rsid w:val="006048AD"/>
    <w:rsid w:val="0061364D"/>
    <w:rsid w:val="0065127E"/>
    <w:rsid w:val="00657D4A"/>
    <w:rsid w:val="00662AC7"/>
    <w:rsid w:val="00684C0D"/>
    <w:rsid w:val="006A7DA7"/>
    <w:rsid w:val="006B0BAF"/>
    <w:rsid w:val="006B66D8"/>
    <w:rsid w:val="006C0F3D"/>
    <w:rsid w:val="006C7A86"/>
    <w:rsid w:val="006D428F"/>
    <w:rsid w:val="00710F1E"/>
    <w:rsid w:val="007428E9"/>
    <w:rsid w:val="00742BCC"/>
    <w:rsid w:val="00756C82"/>
    <w:rsid w:val="007810CC"/>
    <w:rsid w:val="00785D9D"/>
    <w:rsid w:val="007878EE"/>
    <w:rsid w:val="007C6A20"/>
    <w:rsid w:val="007D4D1F"/>
    <w:rsid w:val="00844B28"/>
    <w:rsid w:val="00861995"/>
    <w:rsid w:val="008C0681"/>
    <w:rsid w:val="008C6B9E"/>
    <w:rsid w:val="008D7803"/>
    <w:rsid w:val="008E3FEA"/>
    <w:rsid w:val="009156AA"/>
    <w:rsid w:val="00916257"/>
    <w:rsid w:val="00920092"/>
    <w:rsid w:val="009325F0"/>
    <w:rsid w:val="009C4211"/>
    <w:rsid w:val="009C7A2B"/>
    <w:rsid w:val="009D0042"/>
    <w:rsid w:val="009E63EC"/>
    <w:rsid w:val="00A10041"/>
    <w:rsid w:val="00A12033"/>
    <w:rsid w:val="00A23BDB"/>
    <w:rsid w:val="00A60879"/>
    <w:rsid w:val="00A93558"/>
    <w:rsid w:val="00A96E13"/>
    <w:rsid w:val="00A974F1"/>
    <w:rsid w:val="00AA23A0"/>
    <w:rsid w:val="00AD0224"/>
    <w:rsid w:val="00B3225F"/>
    <w:rsid w:val="00B42BA6"/>
    <w:rsid w:val="00B435FC"/>
    <w:rsid w:val="00B72DC9"/>
    <w:rsid w:val="00B91FC7"/>
    <w:rsid w:val="00BB6753"/>
    <w:rsid w:val="00BC1F6B"/>
    <w:rsid w:val="00BD2E80"/>
    <w:rsid w:val="00BD3958"/>
    <w:rsid w:val="00BD663C"/>
    <w:rsid w:val="00BE126B"/>
    <w:rsid w:val="00C24A77"/>
    <w:rsid w:val="00C3667F"/>
    <w:rsid w:val="00C4372F"/>
    <w:rsid w:val="00C653A9"/>
    <w:rsid w:val="00C67524"/>
    <w:rsid w:val="00C7219A"/>
    <w:rsid w:val="00C741E6"/>
    <w:rsid w:val="00C768DA"/>
    <w:rsid w:val="00CF7C5C"/>
    <w:rsid w:val="00D01448"/>
    <w:rsid w:val="00D057D9"/>
    <w:rsid w:val="00D10505"/>
    <w:rsid w:val="00D1719A"/>
    <w:rsid w:val="00D253EA"/>
    <w:rsid w:val="00D263F9"/>
    <w:rsid w:val="00D43120"/>
    <w:rsid w:val="00D53C9D"/>
    <w:rsid w:val="00D60938"/>
    <w:rsid w:val="00D775DB"/>
    <w:rsid w:val="00D80B2D"/>
    <w:rsid w:val="00D90701"/>
    <w:rsid w:val="00DA7B87"/>
    <w:rsid w:val="00DC53E2"/>
    <w:rsid w:val="00DC6907"/>
    <w:rsid w:val="00E20D12"/>
    <w:rsid w:val="00E37BB7"/>
    <w:rsid w:val="00E677F5"/>
    <w:rsid w:val="00E729CC"/>
    <w:rsid w:val="00E8457C"/>
    <w:rsid w:val="00E85720"/>
    <w:rsid w:val="00E90132"/>
    <w:rsid w:val="00E9038B"/>
    <w:rsid w:val="00EB0335"/>
    <w:rsid w:val="00EB52CB"/>
    <w:rsid w:val="00EC2243"/>
    <w:rsid w:val="00EE5E5D"/>
    <w:rsid w:val="00F04567"/>
    <w:rsid w:val="00F122FE"/>
    <w:rsid w:val="00F32765"/>
    <w:rsid w:val="00F330F2"/>
    <w:rsid w:val="00F33F0F"/>
    <w:rsid w:val="00F51C07"/>
    <w:rsid w:val="00F534B6"/>
    <w:rsid w:val="00F55799"/>
    <w:rsid w:val="00F641DD"/>
    <w:rsid w:val="00F662F7"/>
    <w:rsid w:val="00F71F1B"/>
    <w:rsid w:val="00FA6B3B"/>
    <w:rsid w:val="00FB3CD2"/>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8C0681"/>
    <w:rPr>
      <w:vertAlign w:val="superscript"/>
    </w:rPr>
  </w:style>
  <w:style w:type="paragraph" w:styleId="FootnoteText">
    <w:name w:val="footnote text"/>
    <w:basedOn w:val="Normal"/>
    <w:link w:val="FootnoteTextChar"/>
    <w:uiPriority w:val="99"/>
    <w:semiHidden/>
    <w:rsid w:val="008C0681"/>
    <w:pPr>
      <w:tabs>
        <w:tab w:val="left" w:pos="600"/>
      </w:tabs>
      <w:spacing w:line="180" w:lineRule="atLeast"/>
      <w:ind w:left="240" w:hanging="240"/>
    </w:pPr>
    <w:rPr>
      <w:sz w:val="13"/>
      <w:szCs w:val="20"/>
    </w:rPr>
  </w:style>
  <w:style w:type="character" w:customStyle="1" w:styleId="FootnoteTextChar">
    <w:name w:val="Footnote Text Char"/>
    <w:basedOn w:val="DefaultParagraphFont"/>
    <w:link w:val="FootnoteText"/>
    <w:uiPriority w:val="99"/>
    <w:semiHidden/>
    <w:rsid w:val="008C0681"/>
    <w:rPr>
      <w:rFonts w:ascii="Verdana" w:eastAsia="Times New Roman" w:hAnsi="Verdana" w:cs="Times New Roman"/>
      <w:sz w:val="13"/>
      <w:szCs w:val="20"/>
      <w:lang w:eastAsia="nl-NL"/>
    </w:rPr>
  </w:style>
  <w:style w:type="character" w:styleId="CommentReference">
    <w:name w:val="annotation reference"/>
    <w:basedOn w:val="DefaultParagraphFont"/>
    <w:semiHidden/>
    <w:unhideWhenUsed/>
    <w:rsid w:val="008C0681"/>
    <w:rPr>
      <w:sz w:val="16"/>
      <w:szCs w:val="16"/>
    </w:rPr>
  </w:style>
  <w:style w:type="paragraph" w:styleId="CommentText">
    <w:name w:val="annotation text"/>
    <w:basedOn w:val="Normal"/>
    <w:link w:val="CommentTextChar"/>
    <w:semiHidden/>
    <w:unhideWhenUsed/>
    <w:rsid w:val="008C0681"/>
    <w:pPr>
      <w:spacing w:line="240" w:lineRule="auto"/>
    </w:pPr>
    <w:rPr>
      <w:sz w:val="20"/>
      <w:szCs w:val="20"/>
    </w:rPr>
  </w:style>
  <w:style w:type="character" w:customStyle="1" w:styleId="CommentTextChar">
    <w:name w:val="Comment Text Char"/>
    <w:basedOn w:val="DefaultParagraphFont"/>
    <w:link w:val="CommentText"/>
    <w:semiHidden/>
    <w:rsid w:val="008C0681"/>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AA23A0"/>
    <w:rPr>
      <w:b/>
      <w:bCs/>
    </w:rPr>
  </w:style>
  <w:style w:type="character" w:customStyle="1" w:styleId="CommentSubjectChar">
    <w:name w:val="Comment Subject Char"/>
    <w:basedOn w:val="CommentTextChar"/>
    <w:link w:val="CommentSubject"/>
    <w:uiPriority w:val="99"/>
    <w:semiHidden/>
    <w:rsid w:val="00AA23A0"/>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NL/TXT/HTML/?uri=CELEX:52016PC0034&amp;from=EN" TargetMode="External"/><Relationship Id="rId1" Type="http://schemas.openxmlformats.org/officeDocument/2006/relationships/hyperlink" Target="https://data.consilium.europa.eu/doc/document/ST-9175-2021-INIT/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EB23F2"/>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7923E97DD5BB59498E1AAC0454DE12AD" ma:contentTypeVersion="28" ma:contentTypeDescription="Document sjabloon bedoeld voor antwoord Reguliere Kamerbrief." ma:contentTypeScope="" ma:versionID="74af1d3dbf7e2913dad0a452d3d833f8">
  <xsd:schema xmlns:xsd="http://www.w3.org/2001/XMLSchema" xmlns:xs="http://www.w3.org/2001/XMLSchema" xmlns:p="http://schemas.microsoft.com/office/2006/metadata/properties" xmlns:ns2="edf4a857-f8d7-4424-bfe9-5373be5feed5" xmlns:ns3="a968f643-972d-4667-9c7d-fd76f2567ee3" targetNamespace="http://schemas.microsoft.com/office/2006/metadata/properties" ma:root="true" ma:fieldsID="604acb07db84a4e70583add360d77897" ns2:_="" ns3:_="">
    <xsd:import namespace="edf4a857-f8d7-4424-bfe9-5373be5feed5"/>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TK" minOccurs="0"/>
                <xsd:element ref="ns3:EK" minOccurs="0"/>
                <xsd:element ref="ns3:RO"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a857-f8d7-4424-bfe9-5373be5fe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f2ff4e21-c424-474e-9be8-55dbf11aa475}" ma:SearchPeopleOnly="false" ma:SharePointGroup="0" ma:internalName="BehandelendeDienstpostbus" ma:readOnly="false" ma:showField="ImnName" ma:web="edf4a857-f8d7-4424-bfe9-5373be5feed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32" nillable="true" ma:displayName="Taxonomy Catch All Column" ma:hidden="true" ma:list="{b8051bea-83fe-4f07-b3ff-357e6646386c}" ma:internalName="TaxCatchAll" ma:showField="CatchAllData" ma:web="edf4a857-f8d7-4424-bfe9-5373be5feed5">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b8051bea-83fe-4f07-b3ff-357e6646386c}" ma:internalName="TaxCatchAllLabel" ma:readOnly="true" ma:showField="CatchAllDataLabel" ma:web="edf4a857-f8d7-4424-bfe9-5373be5fee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TK" ma:index="27" nillable="true" ma:displayName="TK" ma:default="0" ma:internalName="TK">
      <xsd:simpleType>
        <xsd:restriction base="dms:Boolean"/>
      </xsd:simpleType>
    </xsd:element>
    <xsd:element name="EK" ma:index="28" nillable="true" ma:displayName="EK" ma:default="0" ma:internalName="EK">
      <xsd:simpleType>
        <xsd:restriction base="dms:Boolean"/>
      </xsd:simpleType>
    </xsd:element>
    <xsd:element name="RO" ma:index="29" nillable="true" ma:displayName="RO" ma:default="0" ma:internalName="RO">
      <xsd:simpleType>
        <xsd:restriction base="dms:Boolean"/>
      </xsd:simpleType>
    </xsd:element>
    <xsd:element name="n7e1752c52f54c38a7d7dd6f35c9ddb2" ma:index="30"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4" nillable="true" ma:displayName="Binnengekomen op" ma:format="DateOnly" ma:internalName="BinnengekomenOp">
      <xsd:simpleType>
        <xsd:restriction base="dms:DateTime"/>
      </xsd:simpleType>
    </xsd:element>
    <xsd:element name="ReferentieKamer" ma:index="35"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f4a857-f8d7-4424-bfe9-5373be5feed5">BZDOC-178186983-80</_dlc_DocId>
    <_dlc_DocIdUrl xmlns="edf4a857-f8d7-4424-bfe9-5373be5feed5">
      <Url>https://247foxy.plaza.buzaservices.nl/sites/8491/_layouts/15/DocIdRedir.aspx?ID=BZDOC-178186983-80</Url>
      <Description>BZDOC-178186983-80</Description>
    </_dlc_DocIdUrl>
    <BinnengekomenOp xmlns="a968f643-972d-4667-9c7d-fd76f2567ee3">2021-06-18T07:27:56+00:00</BinnengekomenOp>
    <ReferentieKamer xmlns="a968f643-972d-4667-9c7d-fd76f2567ee3">Min-BuZa.2021.308</ReferentieKamer>
    <n7e1752c52f54c38a7d7dd6f35c9ddb2 xmlns="a968f643-972d-4667-9c7d-fd76f2567ee3">
      <Terms xmlns="http://schemas.microsoft.com/office/infopath/2007/PartnerControls"/>
    </n7e1752c52f54c38a7d7dd6f35c9ddb2>
    <TaxCatchAll xmlns="edf4a857-f8d7-4424-bfe9-5373be5feed5"/>
    <Mede_x0020_namens_x0020_Display xmlns="a968f643-972d-4667-9c7d-fd76f2567ee3" xsi:nil="true"/>
    <Namens_x0020_2 xmlns="a968f643-972d-4667-9c7d-fd76f2567ee3" xsi:nil="true"/>
    <Namens xmlns="a968f643-972d-4667-9c7d-fd76f2567ee3" xsi:nil="true"/>
    <Namens_x0020_1 xmlns="a968f643-972d-4667-9c7d-fd76f2567ee3" xsi:nil="true"/>
    <Namens_x0020_4 xmlns="a968f643-972d-4667-9c7d-fd76f2567ee3" xsi:nil="true"/>
    <Afzender xmlns="a968f643-972d-4667-9c7d-fd76f2567ee3" xsi:nil="true"/>
    <Ondertekenaar_x0020_2 xmlns="a968f643-972d-4667-9c7d-fd76f2567ee3">De staatssecretaris van Economische Zaken en Klimaat,
Mona Keijzer</Ondertekenaar_x0020_2>
    <Ondertekenaar_x0020_3 xmlns="a968f643-972d-4667-9c7d-fd76f2567ee3" xsi:nil="true"/>
    <Ondertekenaar_x0020_1 xmlns="a968f643-972d-4667-9c7d-fd76f2567ee3">De minister van Buitenlandse Zaken,
Sigrid A.M. Kaag</Ondertekenaar_x0020_1>
    <Aantal_x0020_bijlagen xmlns="a968f643-972d-4667-9c7d-fd76f2567ee3" xsi:nil="true"/>
    <Mede_x0020_namens xmlns="a968f643-972d-4667-9c7d-fd76f2567ee3" xsi:nil="true"/>
    <Geadresseerde_x0020_Kamer xmlns="a968f643-972d-4667-9c7d-fd76f2567ee3">Aan de Voorzitter </Geadresseerde_x0020_Kamer>
    <Opgesteld_x0020_op xmlns="a968f643-972d-4667-9c7d-fd76f2567ee3">2021-06-23T22:00:00+00:00</Opgesteld_x0020_op>
    <BehandelendeDienstpostbus xmlns="edf4a857-f8d7-4424-bfe9-5373be5feed5">
      <UserInfo>
        <DisplayName/>
        <AccountId xsi:nil="true"/>
        <AccountType/>
      </UserInfo>
    </BehandelendeDienstpostbus>
    <Ondertekenaar_x0020_4 xmlns="a968f643-972d-4667-9c7d-fd76f2567ee3" xsi:nil="true"/>
    <Namens_x0020_3 xmlns="a968f643-972d-4667-9c7d-fd76f2567ee3" xsi:nil="true"/>
    <TK xmlns="a968f643-972d-4667-9c7d-fd76f2567ee3">false</TK>
    <RO xmlns="a968f643-972d-4667-9c7d-fd76f2567ee3">false</RO>
    <EK xmlns="a968f643-972d-4667-9c7d-fd76f2567ee3">false</EK>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B4F3-921A-42ED-BDC0-05BC2DF2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a857-f8d7-4424-bfe9-5373be5feed5"/>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345DB-4A3A-46DB-B61C-5BA08D3845EA}">
  <ds:schemaRefs>
    <ds:schemaRef ds:uri="http://schemas.microsoft.com/sharepoint/v3/contenttype/forms"/>
  </ds:schemaRefs>
</ds:datastoreItem>
</file>

<file path=customXml/itemProps3.xml><?xml version="1.0" encoding="utf-8"?>
<ds:datastoreItem xmlns:ds="http://schemas.openxmlformats.org/officeDocument/2006/customXml" ds:itemID="{81961AFE-0FF6-4063-9DD3-1D50F4EAA675}">
  <ds:schemaRefs>
    <ds:schemaRef ds:uri="http://purl.org/dc/dcmitype/"/>
    <ds:schemaRef ds:uri="http://schemas.microsoft.com/office/infopath/2007/PartnerControls"/>
    <ds:schemaRef ds:uri="a968f643-972d-4667-9c7d-fd76f2567ee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df4a857-f8d7-4424-bfe9-5373be5feed5"/>
    <ds:schemaRef ds:uri="http://www.w3.org/XML/1998/namespace"/>
  </ds:schemaRefs>
</ds:datastoreItem>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customXml/itemProps5.xml><?xml version="1.0" encoding="utf-8"?>
<ds:datastoreItem xmlns:ds="http://schemas.openxmlformats.org/officeDocument/2006/customXml" ds:itemID="{D38C0FC1-46DC-42D0-85AC-E2614D42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Appreciatie-Raadspositie-Internationaal-Aanbestedingsinstrument-</vt:lpstr>
    </vt:vector>
  </TitlesOfParts>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Appreciatie-Raadspositie-Internationaal-Aanbestedingsinstrument-</dc:title>
  <dc:creator/>
  <cp:lastModifiedBy/>
  <cp:revision>1</cp:revision>
  <dcterms:created xsi:type="dcterms:W3CDTF">2021-07-06T15:20:00Z</dcterms:created>
  <dcterms:modified xsi:type="dcterms:W3CDTF">2021-07-06T15:20:00Z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0x0101009FFE7A2FBA144D4699EC54818DF680F210007923E97DD5BB59498E1AAC0454DE12AD</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c6650fc9-f7c7-498f-a404-5fa8b1f4b8eb</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